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D69D6" w14:textId="1C587A7B" w:rsidR="00026565" w:rsidRPr="00D81101" w:rsidRDefault="00026565" w:rsidP="00026565">
      <w:pPr>
        <w:widowControl/>
        <w:jc w:val="center"/>
        <w:rPr>
          <w:b/>
          <w:bCs/>
          <w:szCs w:val="20"/>
        </w:rPr>
      </w:pPr>
      <w:r>
        <w:rPr>
          <w:b/>
          <w:bCs/>
          <w:szCs w:val="20"/>
        </w:rPr>
        <w:t>A</w:t>
      </w:r>
      <w:r w:rsidRPr="00D81101">
        <w:rPr>
          <w:b/>
          <w:bCs/>
          <w:szCs w:val="20"/>
        </w:rPr>
        <w:t>MENDMENT TO IMPLEMENT SECURE ACT PROVISIONS</w:t>
      </w:r>
      <w:r w:rsidR="007678CD">
        <w:rPr>
          <w:b/>
          <w:bCs/>
          <w:szCs w:val="20"/>
        </w:rPr>
        <w:t xml:space="preserve"> (EMPLOYER) -- INSTRUCTIONS</w:t>
      </w:r>
    </w:p>
    <w:p w14:paraId="2009AFB4" w14:textId="77777777" w:rsidR="001B6BA2" w:rsidRPr="001F1723" w:rsidRDefault="001B6BA2">
      <w:pPr>
        <w:jc w:val="center"/>
        <w:rPr>
          <w:b/>
          <w:bCs/>
          <w:szCs w:val="20"/>
        </w:rPr>
      </w:pPr>
    </w:p>
    <w:p w14:paraId="2F5394D0" w14:textId="792B7BF5" w:rsidR="00F11B18" w:rsidRPr="00F11B18" w:rsidRDefault="00F11B18" w:rsidP="00E90F4C">
      <w:pPr>
        <w:rPr>
          <w:bCs/>
          <w:iCs/>
          <w:szCs w:val="20"/>
        </w:rPr>
      </w:pPr>
      <w:r w:rsidRPr="00F11B18">
        <w:rPr>
          <w:bCs/>
          <w:iCs/>
          <w:szCs w:val="20"/>
        </w:rPr>
        <w:t xml:space="preserve">FIS has developed an amendment which may be used to update plans for </w:t>
      </w:r>
      <w:r w:rsidR="00026565">
        <w:rPr>
          <w:bCs/>
          <w:iCs/>
          <w:szCs w:val="20"/>
        </w:rPr>
        <w:t>most provisions of</w:t>
      </w:r>
      <w:r w:rsidRPr="00F11B18">
        <w:rPr>
          <w:bCs/>
          <w:iCs/>
          <w:szCs w:val="20"/>
        </w:rPr>
        <w:t xml:space="preserve"> the </w:t>
      </w:r>
      <w:r w:rsidR="00026565">
        <w:rPr>
          <w:bCs/>
          <w:iCs/>
          <w:szCs w:val="20"/>
        </w:rPr>
        <w:t>F</w:t>
      </w:r>
      <w:r w:rsidRPr="00F11B18">
        <w:rPr>
          <w:bCs/>
          <w:iCs/>
          <w:szCs w:val="20"/>
        </w:rPr>
        <w:t xml:space="preserve">urther </w:t>
      </w:r>
      <w:r w:rsidR="00026565">
        <w:rPr>
          <w:bCs/>
          <w:iCs/>
          <w:szCs w:val="20"/>
        </w:rPr>
        <w:t>C</w:t>
      </w:r>
      <w:r w:rsidRPr="00F11B18">
        <w:rPr>
          <w:bCs/>
          <w:iCs/>
          <w:szCs w:val="20"/>
        </w:rPr>
        <w:t xml:space="preserve">onsolidated </w:t>
      </w:r>
      <w:r w:rsidR="00026565">
        <w:rPr>
          <w:bCs/>
          <w:iCs/>
          <w:szCs w:val="20"/>
        </w:rPr>
        <w:t>A</w:t>
      </w:r>
      <w:r w:rsidRPr="00F11B18">
        <w:rPr>
          <w:bCs/>
          <w:iCs/>
          <w:szCs w:val="20"/>
        </w:rPr>
        <w:t xml:space="preserve">ppropriations </w:t>
      </w:r>
      <w:r w:rsidR="00026565">
        <w:rPr>
          <w:bCs/>
          <w:iCs/>
          <w:szCs w:val="20"/>
        </w:rPr>
        <w:t>A</w:t>
      </w:r>
      <w:r w:rsidRPr="00F11B18">
        <w:rPr>
          <w:bCs/>
          <w:iCs/>
          <w:szCs w:val="20"/>
        </w:rPr>
        <w:t xml:space="preserve">ct </w:t>
      </w:r>
      <w:r w:rsidR="00026565">
        <w:rPr>
          <w:bCs/>
          <w:iCs/>
          <w:szCs w:val="20"/>
        </w:rPr>
        <w:t>(and particularly the SECURE Act)</w:t>
      </w:r>
      <w:r w:rsidRPr="00F11B18">
        <w:rPr>
          <w:bCs/>
          <w:iCs/>
          <w:szCs w:val="20"/>
        </w:rPr>
        <w:t xml:space="preserve">. </w:t>
      </w:r>
      <w:r w:rsidR="00E90F4C">
        <w:rPr>
          <w:bCs/>
          <w:iCs/>
          <w:szCs w:val="20"/>
        </w:rPr>
        <w:t xml:space="preserve">It also addresses an RMD issue in the CARES Act and recent updates of RMD life expectancy tables. </w:t>
      </w:r>
      <w:r w:rsidRPr="00F11B18">
        <w:rPr>
          <w:bCs/>
          <w:iCs/>
          <w:szCs w:val="20"/>
        </w:rPr>
        <w:t>The amendment can be used for all types of qualified plans, 403</w:t>
      </w:r>
      <w:r w:rsidR="00026565">
        <w:rPr>
          <w:bCs/>
          <w:iCs/>
          <w:szCs w:val="20"/>
        </w:rPr>
        <w:t>(b)</w:t>
      </w:r>
      <w:r w:rsidRPr="00F11B18">
        <w:rPr>
          <w:bCs/>
          <w:iCs/>
          <w:szCs w:val="20"/>
        </w:rPr>
        <w:t xml:space="preserve"> plans, and 457</w:t>
      </w:r>
      <w:r w:rsidR="00026565">
        <w:rPr>
          <w:bCs/>
          <w:iCs/>
          <w:szCs w:val="20"/>
        </w:rPr>
        <w:t>(b)</w:t>
      </w:r>
      <w:r w:rsidRPr="00F11B18">
        <w:rPr>
          <w:bCs/>
          <w:iCs/>
          <w:szCs w:val="20"/>
        </w:rPr>
        <w:t xml:space="preserve"> plans.</w:t>
      </w:r>
      <w:r w:rsidR="00C60821">
        <w:rPr>
          <w:bCs/>
          <w:iCs/>
          <w:szCs w:val="20"/>
        </w:rPr>
        <w:t xml:space="preserve"> It reflects the guidance contained in Notice 2020-68.</w:t>
      </w:r>
      <w:r w:rsidRPr="00F11B18">
        <w:rPr>
          <w:bCs/>
          <w:iCs/>
          <w:szCs w:val="20"/>
        </w:rPr>
        <w:t xml:space="preserve"> </w:t>
      </w:r>
      <w:r w:rsidR="00DA32CF">
        <w:rPr>
          <w:bCs/>
          <w:iCs/>
          <w:szCs w:val="20"/>
        </w:rPr>
        <w:t>There is a separate amendment for document sponsors to use for their adopting employers.</w:t>
      </w:r>
    </w:p>
    <w:p w14:paraId="3480C3C8" w14:textId="77777777" w:rsidR="00F11B18" w:rsidRPr="00F11B18" w:rsidRDefault="00F11B18" w:rsidP="00F11B18">
      <w:pPr>
        <w:rPr>
          <w:bCs/>
          <w:iCs/>
          <w:szCs w:val="20"/>
        </w:rPr>
      </w:pPr>
    </w:p>
    <w:p w14:paraId="4AE3AFCA" w14:textId="3EAA66CF" w:rsidR="00F11B18" w:rsidRDefault="00F11B18" w:rsidP="00F11B18">
      <w:pPr>
        <w:rPr>
          <w:bCs/>
          <w:iCs/>
          <w:szCs w:val="20"/>
        </w:rPr>
      </w:pPr>
      <w:r w:rsidRPr="00F11B18">
        <w:rPr>
          <w:bCs/>
          <w:iCs/>
          <w:szCs w:val="20"/>
        </w:rPr>
        <w:t>We anticipate th</w:t>
      </w:r>
      <w:r w:rsidR="007E16FF">
        <w:rPr>
          <w:bCs/>
          <w:iCs/>
          <w:szCs w:val="20"/>
        </w:rPr>
        <w:t>at</w:t>
      </w:r>
      <w:r w:rsidRPr="00F11B18">
        <w:rPr>
          <w:bCs/>
          <w:iCs/>
          <w:szCs w:val="20"/>
        </w:rPr>
        <w:t xml:space="preserve"> most employers can simply fill in the identifying information in section 2.1</w:t>
      </w:r>
      <w:r w:rsidR="00830D64">
        <w:rPr>
          <w:bCs/>
          <w:iCs/>
          <w:szCs w:val="20"/>
        </w:rPr>
        <w:t>, check Election 2.3(a)</w:t>
      </w:r>
      <w:r w:rsidRPr="00F11B18">
        <w:rPr>
          <w:bCs/>
          <w:iCs/>
          <w:szCs w:val="20"/>
        </w:rPr>
        <w:t xml:space="preserve"> and sign the amendment. Section 2.3 lists the </w:t>
      </w:r>
      <w:r>
        <w:rPr>
          <w:bCs/>
          <w:iCs/>
          <w:szCs w:val="20"/>
        </w:rPr>
        <w:t>amendment’s</w:t>
      </w:r>
      <w:r w:rsidRPr="00F11B18">
        <w:rPr>
          <w:bCs/>
          <w:iCs/>
          <w:szCs w:val="20"/>
        </w:rPr>
        <w:t xml:space="preserve"> default provisions. If an employer wishes to override one or more of those defaults, to reflect</w:t>
      </w:r>
      <w:r w:rsidR="00517768">
        <w:rPr>
          <w:bCs/>
          <w:iCs/>
          <w:szCs w:val="20"/>
        </w:rPr>
        <w:t xml:space="preserve"> options SECURE makes available</w:t>
      </w:r>
      <w:r w:rsidRPr="00F11B18">
        <w:rPr>
          <w:bCs/>
          <w:iCs/>
          <w:szCs w:val="20"/>
        </w:rPr>
        <w:t>, the employer can</w:t>
      </w:r>
      <w:r w:rsidR="00B57908">
        <w:rPr>
          <w:bCs/>
          <w:iCs/>
          <w:szCs w:val="20"/>
        </w:rPr>
        <w:t xml:space="preserve"> check Election 2.3(b)</w:t>
      </w:r>
      <w:r w:rsidRPr="00F11B18">
        <w:rPr>
          <w:bCs/>
          <w:iCs/>
          <w:szCs w:val="20"/>
        </w:rPr>
        <w:t xml:space="preserve"> </w:t>
      </w:r>
      <w:r w:rsidR="00B57908">
        <w:rPr>
          <w:bCs/>
          <w:iCs/>
          <w:szCs w:val="20"/>
        </w:rPr>
        <w:t>and make the appropriate Elections in</w:t>
      </w:r>
      <w:r w:rsidRPr="00F11B18">
        <w:rPr>
          <w:bCs/>
          <w:iCs/>
          <w:szCs w:val="20"/>
        </w:rPr>
        <w:t xml:space="preserve"> sections 2.4</w:t>
      </w:r>
      <w:r w:rsidR="00C60821">
        <w:rPr>
          <w:bCs/>
          <w:iCs/>
          <w:szCs w:val="20"/>
        </w:rPr>
        <w:t xml:space="preserve"> through 2.</w:t>
      </w:r>
      <w:r w:rsidR="0011271B">
        <w:rPr>
          <w:bCs/>
          <w:iCs/>
          <w:szCs w:val="20"/>
        </w:rPr>
        <w:t>11</w:t>
      </w:r>
      <w:r w:rsidR="00C60821">
        <w:rPr>
          <w:bCs/>
          <w:iCs/>
          <w:szCs w:val="20"/>
        </w:rPr>
        <w:t>.</w:t>
      </w:r>
    </w:p>
    <w:p w14:paraId="1DF299C3" w14:textId="77777777" w:rsidR="00153806" w:rsidRDefault="00153806" w:rsidP="00F11B18">
      <w:pPr>
        <w:rPr>
          <w:bCs/>
          <w:iCs/>
          <w:szCs w:val="20"/>
        </w:rPr>
      </w:pPr>
    </w:p>
    <w:p w14:paraId="7AB35099" w14:textId="337EB399" w:rsidR="00153806" w:rsidRPr="00F11B18" w:rsidRDefault="00D8422A" w:rsidP="00F11B18">
      <w:pPr>
        <w:rPr>
          <w:bCs/>
          <w:iCs/>
          <w:szCs w:val="20"/>
        </w:rPr>
      </w:pPr>
      <w:r>
        <w:rPr>
          <w:bCs/>
          <w:iCs/>
          <w:szCs w:val="20"/>
        </w:rPr>
        <w:t xml:space="preserve">Some employers have already adopted </w:t>
      </w:r>
      <w:r w:rsidR="00C139DB">
        <w:rPr>
          <w:bCs/>
          <w:iCs/>
          <w:szCs w:val="20"/>
        </w:rPr>
        <w:t xml:space="preserve">amendments </w:t>
      </w:r>
      <w:r>
        <w:rPr>
          <w:bCs/>
          <w:iCs/>
          <w:szCs w:val="20"/>
        </w:rPr>
        <w:t xml:space="preserve">which </w:t>
      </w:r>
      <w:r w:rsidR="00C139DB">
        <w:rPr>
          <w:bCs/>
          <w:iCs/>
          <w:szCs w:val="20"/>
        </w:rPr>
        <w:t>address</w:t>
      </w:r>
      <w:r>
        <w:rPr>
          <w:bCs/>
          <w:iCs/>
          <w:szCs w:val="20"/>
        </w:rPr>
        <w:t xml:space="preserve"> specific SECURE provisions</w:t>
      </w:r>
      <w:r w:rsidR="00C139DB">
        <w:rPr>
          <w:bCs/>
          <w:iCs/>
          <w:szCs w:val="20"/>
        </w:rPr>
        <w:t>. For example,</w:t>
      </w:r>
      <w:r w:rsidR="009726E9">
        <w:rPr>
          <w:bCs/>
          <w:iCs/>
          <w:szCs w:val="20"/>
        </w:rPr>
        <w:t xml:space="preserve"> may already have amended its pension plan to allow for in-service distributions at age 59 ½, as provided in </w:t>
      </w:r>
      <w:r w:rsidR="00675D9A">
        <w:rPr>
          <w:bCs/>
          <w:iCs/>
          <w:szCs w:val="20"/>
        </w:rPr>
        <w:t>A</w:t>
      </w:r>
      <w:r w:rsidR="009726E9">
        <w:rPr>
          <w:bCs/>
          <w:iCs/>
          <w:szCs w:val="20"/>
        </w:rPr>
        <w:t>rticle 10</w:t>
      </w:r>
      <w:r w:rsidR="00675D9A">
        <w:rPr>
          <w:bCs/>
          <w:iCs/>
          <w:szCs w:val="20"/>
        </w:rPr>
        <w:t xml:space="preserve"> of this amendment. This amendment will not override</w:t>
      </w:r>
      <w:r w:rsidR="004C4C7C">
        <w:rPr>
          <w:bCs/>
          <w:iCs/>
          <w:szCs w:val="20"/>
        </w:rPr>
        <w:t xml:space="preserve"> those earlier specific amendments unless the employer checks section 1.6(a).</w:t>
      </w:r>
      <w:r w:rsidR="008F6CED">
        <w:rPr>
          <w:bCs/>
          <w:iCs/>
          <w:szCs w:val="20"/>
        </w:rPr>
        <w:t xml:space="preserve"> Checking 1.6(a) means that this amendment will override</w:t>
      </w:r>
      <w:r w:rsidR="008C71F6">
        <w:rPr>
          <w:bCs/>
          <w:iCs/>
          <w:szCs w:val="20"/>
        </w:rPr>
        <w:t xml:space="preserve"> any previous amendments the employer has adopted relating to SECURE.</w:t>
      </w:r>
    </w:p>
    <w:p w14:paraId="1BDBB3F3" w14:textId="77777777" w:rsidR="00F11B18" w:rsidRPr="00F11B18" w:rsidRDefault="00F11B18" w:rsidP="00F11B18">
      <w:pPr>
        <w:rPr>
          <w:bCs/>
          <w:iCs/>
          <w:szCs w:val="20"/>
        </w:rPr>
      </w:pPr>
    </w:p>
    <w:p w14:paraId="1031E749" w14:textId="4D7ACC10" w:rsidR="00FE7346" w:rsidRDefault="00F11B18" w:rsidP="00F11B18">
      <w:pPr>
        <w:rPr>
          <w:bCs/>
          <w:iCs/>
          <w:szCs w:val="20"/>
        </w:rPr>
      </w:pPr>
      <w:r w:rsidRPr="00F11B18">
        <w:rPr>
          <w:bCs/>
          <w:iCs/>
          <w:szCs w:val="20"/>
        </w:rPr>
        <w:t xml:space="preserve">Each article </w:t>
      </w:r>
      <w:r>
        <w:rPr>
          <w:bCs/>
          <w:iCs/>
          <w:szCs w:val="20"/>
        </w:rPr>
        <w:t>3-</w:t>
      </w:r>
      <w:r w:rsidR="00C60821">
        <w:rPr>
          <w:bCs/>
          <w:iCs/>
          <w:szCs w:val="20"/>
        </w:rPr>
        <w:t>1</w:t>
      </w:r>
      <w:r w:rsidR="00A519DE">
        <w:rPr>
          <w:bCs/>
          <w:iCs/>
          <w:szCs w:val="20"/>
        </w:rPr>
        <w:t>6</w:t>
      </w:r>
      <w:r>
        <w:rPr>
          <w:bCs/>
          <w:iCs/>
          <w:szCs w:val="20"/>
        </w:rPr>
        <w:t xml:space="preserve"> </w:t>
      </w:r>
      <w:r w:rsidRPr="00F11B18">
        <w:rPr>
          <w:bCs/>
          <w:iCs/>
          <w:szCs w:val="20"/>
        </w:rPr>
        <w:t>is self-contained and lists the statutory citation for ease of reference. Section 1 of each article identifies the plans to which the article applies.</w:t>
      </w:r>
    </w:p>
    <w:p w14:paraId="618A7360" w14:textId="177917B9" w:rsidR="00F11B18" w:rsidRDefault="00F11B18" w:rsidP="00F11B18">
      <w:pPr>
        <w:rPr>
          <w:bCs/>
          <w:iCs/>
          <w:szCs w:val="20"/>
        </w:rPr>
      </w:pPr>
    </w:p>
    <w:tbl>
      <w:tblPr>
        <w:tblStyle w:val="GridTable4"/>
        <w:tblW w:w="0" w:type="auto"/>
        <w:tblLook w:val="04A0" w:firstRow="1" w:lastRow="0" w:firstColumn="1" w:lastColumn="0" w:noHBand="0" w:noVBand="1"/>
      </w:tblPr>
      <w:tblGrid>
        <w:gridCol w:w="805"/>
        <w:gridCol w:w="2578"/>
        <w:gridCol w:w="1292"/>
        <w:gridCol w:w="5395"/>
      </w:tblGrid>
      <w:tr w:rsidR="003550D3" w14:paraId="4A443F67" w14:textId="77777777" w:rsidTr="002755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6AEE624" w14:textId="5AB4934F" w:rsidR="00F11B18" w:rsidRDefault="00F11B18" w:rsidP="00F11B18">
            <w:pPr>
              <w:jc w:val="center"/>
              <w:rPr>
                <w:bCs w:val="0"/>
                <w:iCs/>
                <w:szCs w:val="20"/>
              </w:rPr>
            </w:pPr>
            <w:r>
              <w:rPr>
                <w:bCs w:val="0"/>
                <w:iCs/>
                <w:szCs w:val="20"/>
              </w:rPr>
              <w:t>Article</w:t>
            </w:r>
          </w:p>
        </w:tc>
        <w:tc>
          <w:tcPr>
            <w:tcW w:w="0" w:type="auto"/>
            <w:vAlign w:val="center"/>
          </w:tcPr>
          <w:p w14:paraId="5EBFEE7C" w14:textId="1E5225D8" w:rsidR="00F11B18" w:rsidRDefault="00F11B18" w:rsidP="00F11B18">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Subject</w:t>
            </w:r>
          </w:p>
        </w:tc>
        <w:tc>
          <w:tcPr>
            <w:tcW w:w="1292" w:type="dxa"/>
            <w:vAlign w:val="center"/>
          </w:tcPr>
          <w:p w14:paraId="6815DDA1" w14:textId="73C121A5" w:rsidR="00F11B18" w:rsidRDefault="00F11B18" w:rsidP="00F11B18">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Plan Types</w:t>
            </w:r>
          </w:p>
        </w:tc>
        <w:tc>
          <w:tcPr>
            <w:tcW w:w="5395" w:type="dxa"/>
            <w:vAlign w:val="center"/>
          </w:tcPr>
          <w:p w14:paraId="042CEB1C" w14:textId="3C35694F" w:rsidR="00F11B18" w:rsidRDefault="00F11B18" w:rsidP="00F11B18">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Elections</w:t>
            </w:r>
          </w:p>
        </w:tc>
      </w:tr>
      <w:tr w:rsidR="003550D3" w14:paraId="61744064" w14:textId="77777777" w:rsidTr="0027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7412F08" w14:textId="7A479E04" w:rsidR="00F11B18" w:rsidRDefault="00F11B18" w:rsidP="00F11B18">
            <w:pPr>
              <w:jc w:val="center"/>
              <w:rPr>
                <w:bCs w:val="0"/>
                <w:iCs/>
                <w:szCs w:val="20"/>
              </w:rPr>
            </w:pPr>
            <w:r>
              <w:rPr>
                <w:bCs w:val="0"/>
                <w:iCs/>
                <w:szCs w:val="20"/>
              </w:rPr>
              <w:t>3</w:t>
            </w:r>
          </w:p>
        </w:tc>
        <w:tc>
          <w:tcPr>
            <w:tcW w:w="0" w:type="auto"/>
            <w:vAlign w:val="center"/>
          </w:tcPr>
          <w:p w14:paraId="5AB60CDD" w14:textId="26CF6EBA" w:rsidR="00F11B18" w:rsidRDefault="00F11B18"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No need for notice for safe harbor 401(k) plans with nonelective contributions</w:t>
            </w:r>
            <w:r w:rsidR="00A14C31">
              <w:rPr>
                <w:bCs/>
                <w:iCs/>
                <w:szCs w:val="20"/>
              </w:rPr>
              <w:t>; allows retroactive amendment to add SHNEC</w:t>
            </w:r>
          </w:p>
        </w:tc>
        <w:tc>
          <w:tcPr>
            <w:tcW w:w="1292" w:type="dxa"/>
            <w:vAlign w:val="center"/>
          </w:tcPr>
          <w:p w14:paraId="374AC46B" w14:textId="28391800" w:rsidR="00F11B18" w:rsidRDefault="00F11B18"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p>
        </w:tc>
        <w:tc>
          <w:tcPr>
            <w:tcW w:w="5395" w:type="dxa"/>
            <w:vAlign w:val="center"/>
          </w:tcPr>
          <w:p w14:paraId="151854A7" w14:textId="29E452D7" w:rsidR="00F11B18" w:rsidRDefault="00F11B18"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None</w:t>
            </w:r>
          </w:p>
        </w:tc>
      </w:tr>
      <w:tr w:rsidR="002755BF" w14:paraId="3D54FFA1" w14:textId="77777777" w:rsidTr="002755BF">
        <w:tc>
          <w:tcPr>
            <w:cnfStyle w:val="001000000000" w:firstRow="0" w:lastRow="0" w:firstColumn="1" w:lastColumn="0" w:oddVBand="0" w:evenVBand="0" w:oddHBand="0" w:evenHBand="0" w:firstRowFirstColumn="0" w:firstRowLastColumn="0" w:lastRowFirstColumn="0" w:lastRowLastColumn="0"/>
            <w:tcW w:w="0" w:type="auto"/>
            <w:vAlign w:val="center"/>
          </w:tcPr>
          <w:p w14:paraId="11BE8074" w14:textId="03E30B34" w:rsidR="00F11B18" w:rsidRDefault="0061084E" w:rsidP="00F11B18">
            <w:pPr>
              <w:jc w:val="center"/>
              <w:rPr>
                <w:bCs w:val="0"/>
                <w:iCs/>
                <w:szCs w:val="20"/>
              </w:rPr>
            </w:pPr>
            <w:r>
              <w:rPr>
                <w:bCs w:val="0"/>
                <w:iCs/>
                <w:szCs w:val="20"/>
              </w:rPr>
              <w:t>4</w:t>
            </w:r>
          </w:p>
        </w:tc>
        <w:tc>
          <w:tcPr>
            <w:tcW w:w="0" w:type="auto"/>
            <w:vAlign w:val="center"/>
          </w:tcPr>
          <w:p w14:paraId="5452AE7E" w14:textId="1BFB0216" w:rsidR="00F11B18" w:rsidRDefault="00F11B18" w:rsidP="00F11B1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 birth and adoption distributions</w:t>
            </w:r>
          </w:p>
        </w:tc>
        <w:tc>
          <w:tcPr>
            <w:tcW w:w="1292" w:type="dxa"/>
            <w:vAlign w:val="center"/>
          </w:tcPr>
          <w:p w14:paraId="68E81367" w14:textId="0146C00C" w:rsidR="00F11B18" w:rsidRDefault="00F11B18" w:rsidP="00F11B1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 gov’t 457(b)</w:t>
            </w:r>
          </w:p>
        </w:tc>
        <w:tc>
          <w:tcPr>
            <w:tcW w:w="5395" w:type="dxa"/>
            <w:vAlign w:val="center"/>
          </w:tcPr>
          <w:p w14:paraId="02FCF523" w14:textId="3389FA05" w:rsidR="00F11B18" w:rsidRDefault="00F11B18" w:rsidP="00F11B1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Turned OFF by default.  To allow distributions, select </w:t>
            </w:r>
            <w:r w:rsidR="007B7015">
              <w:rPr>
                <w:bCs/>
                <w:iCs/>
                <w:szCs w:val="20"/>
              </w:rPr>
              <w:t>2.4(a)</w:t>
            </w:r>
            <w:r w:rsidR="00132FA0">
              <w:rPr>
                <w:bCs/>
                <w:iCs/>
                <w:szCs w:val="20"/>
              </w:rPr>
              <w:t xml:space="preserve">. </w:t>
            </w:r>
            <w:r w:rsidR="000F14DB">
              <w:rPr>
                <w:bCs/>
                <w:iCs/>
                <w:szCs w:val="20"/>
              </w:rPr>
              <w:t>Distributions are available to all participants from all accounts unless otherwise provided in Article 4 on in elections 2.4(b), (c), or (d)</w:t>
            </w:r>
          </w:p>
        </w:tc>
      </w:tr>
      <w:tr w:rsidR="003550D3" w14:paraId="01E43FE5" w14:textId="77777777" w:rsidTr="0027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DF9B03" w14:textId="19FCE93E" w:rsidR="00F11B18" w:rsidRDefault="001E6316" w:rsidP="00F11B18">
            <w:pPr>
              <w:jc w:val="center"/>
              <w:rPr>
                <w:bCs w:val="0"/>
                <w:iCs/>
                <w:szCs w:val="20"/>
              </w:rPr>
            </w:pPr>
            <w:r>
              <w:rPr>
                <w:bCs w:val="0"/>
                <w:iCs/>
                <w:szCs w:val="20"/>
              </w:rPr>
              <w:t>5</w:t>
            </w:r>
          </w:p>
        </w:tc>
        <w:tc>
          <w:tcPr>
            <w:tcW w:w="0" w:type="auto"/>
            <w:vAlign w:val="center"/>
          </w:tcPr>
          <w:p w14:paraId="1D4A6C34" w14:textId="48E06AFF" w:rsidR="00F11B18" w:rsidRDefault="00F11B18"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Required beginning date (RBD) based on age 72 rather than 70 ½ </w:t>
            </w:r>
          </w:p>
        </w:tc>
        <w:tc>
          <w:tcPr>
            <w:tcW w:w="1292" w:type="dxa"/>
            <w:vAlign w:val="center"/>
          </w:tcPr>
          <w:p w14:paraId="0A205241" w14:textId="4FE41E1E" w:rsidR="00F11B18" w:rsidRDefault="00F11B18"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w:t>
            </w:r>
          </w:p>
        </w:tc>
        <w:tc>
          <w:tcPr>
            <w:tcW w:w="5395" w:type="dxa"/>
            <w:vAlign w:val="center"/>
          </w:tcPr>
          <w:p w14:paraId="4B25BD84" w14:textId="18DFCB47" w:rsidR="00F11B18" w:rsidRDefault="00F11B18"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If plan disregard</w:t>
            </w:r>
            <w:r w:rsidR="00472D6F">
              <w:rPr>
                <w:bCs/>
                <w:iCs/>
                <w:szCs w:val="20"/>
              </w:rPr>
              <w:t>s</w:t>
            </w:r>
            <w:r>
              <w:rPr>
                <w:bCs/>
                <w:iCs/>
                <w:szCs w:val="20"/>
              </w:rPr>
              <w:t xml:space="preserve"> RBD change in making distributions, check </w:t>
            </w:r>
            <w:r w:rsidR="001E20A2">
              <w:rPr>
                <w:bCs/>
                <w:iCs/>
                <w:szCs w:val="20"/>
              </w:rPr>
              <w:t>Elec</w:t>
            </w:r>
            <w:r>
              <w:rPr>
                <w:bCs/>
                <w:iCs/>
                <w:szCs w:val="20"/>
              </w:rPr>
              <w:t>tion 2.5</w:t>
            </w:r>
            <w:r w:rsidR="0065758F">
              <w:rPr>
                <w:bCs/>
                <w:iCs/>
                <w:szCs w:val="20"/>
              </w:rPr>
              <w:t>(a)</w:t>
            </w:r>
            <w:r w:rsidR="00F16DE9">
              <w:rPr>
                <w:bCs/>
                <w:iCs/>
                <w:szCs w:val="20"/>
              </w:rPr>
              <w:t xml:space="preserve"> and enter dates as appropriate.  The election to continue to use 70 ½ automatically expires with the 2022 distribution calendar year.</w:t>
            </w:r>
          </w:p>
        </w:tc>
      </w:tr>
      <w:tr w:rsidR="002755BF" w14:paraId="4A0EF382" w14:textId="77777777" w:rsidTr="002755BF">
        <w:tc>
          <w:tcPr>
            <w:cnfStyle w:val="001000000000" w:firstRow="0" w:lastRow="0" w:firstColumn="1" w:lastColumn="0" w:oddVBand="0" w:evenVBand="0" w:oddHBand="0" w:evenHBand="0" w:firstRowFirstColumn="0" w:firstRowLastColumn="0" w:lastRowFirstColumn="0" w:lastRowLastColumn="0"/>
            <w:tcW w:w="0" w:type="auto"/>
            <w:vAlign w:val="center"/>
          </w:tcPr>
          <w:p w14:paraId="2C73E233" w14:textId="64EA8B96" w:rsidR="00F11B18" w:rsidRDefault="0065758F" w:rsidP="00F11B18">
            <w:pPr>
              <w:jc w:val="center"/>
              <w:rPr>
                <w:bCs w:val="0"/>
                <w:iCs/>
                <w:szCs w:val="20"/>
              </w:rPr>
            </w:pPr>
            <w:r>
              <w:rPr>
                <w:bCs w:val="0"/>
                <w:iCs/>
                <w:szCs w:val="20"/>
              </w:rPr>
              <w:t>6</w:t>
            </w:r>
          </w:p>
        </w:tc>
        <w:tc>
          <w:tcPr>
            <w:tcW w:w="0" w:type="auto"/>
            <w:vAlign w:val="center"/>
          </w:tcPr>
          <w:p w14:paraId="74B9863C" w14:textId="24041012" w:rsidR="00F11B18" w:rsidRDefault="00F11B18" w:rsidP="00F11B1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10</w:t>
            </w:r>
            <w:r w:rsidR="00107EC2">
              <w:rPr>
                <w:bCs/>
                <w:iCs/>
                <w:szCs w:val="20"/>
              </w:rPr>
              <w:t>-</w:t>
            </w:r>
            <w:r>
              <w:rPr>
                <w:bCs/>
                <w:iCs/>
                <w:szCs w:val="20"/>
              </w:rPr>
              <w:t>year limit on most beneficiary RMD distributions</w:t>
            </w:r>
          </w:p>
        </w:tc>
        <w:tc>
          <w:tcPr>
            <w:tcW w:w="1292" w:type="dxa"/>
            <w:vAlign w:val="center"/>
          </w:tcPr>
          <w:p w14:paraId="442FBB4E" w14:textId="388813C6" w:rsidR="00F11B18" w:rsidRDefault="007E16FF" w:rsidP="00F11B1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 457(b)</w:t>
            </w:r>
          </w:p>
        </w:tc>
        <w:tc>
          <w:tcPr>
            <w:tcW w:w="5395" w:type="dxa"/>
            <w:vAlign w:val="center"/>
          </w:tcPr>
          <w:p w14:paraId="0C5F9620" w14:textId="2D34AFEB" w:rsidR="00F11B18" w:rsidRDefault="001E20A2" w:rsidP="00F11B1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Elections</w:t>
            </w:r>
            <w:r w:rsidR="00311647">
              <w:rPr>
                <w:bCs/>
                <w:iCs/>
                <w:szCs w:val="20"/>
              </w:rPr>
              <w:t xml:space="preserve"> 2.6(a) through (d) </w:t>
            </w:r>
            <w:r w:rsidR="00F63750">
              <w:rPr>
                <w:bCs/>
                <w:iCs/>
                <w:szCs w:val="20"/>
              </w:rPr>
              <w:t xml:space="preserve">define whether an Eligible Designated Beneficiary of a Participant who died before the RBD can select between the </w:t>
            </w:r>
            <w:r w:rsidR="004D5385">
              <w:rPr>
                <w:bCs/>
                <w:iCs/>
                <w:szCs w:val="20"/>
              </w:rPr>
              <w:t>10-Year Rule or the Life Expectancy Rule. The default is to follow the existing plan option for the 5-Year Rule.</w:t>
            </w:r>
            <w:r w:rsidR="00472D6F">
              <w:rPr>
                <w:bCs/>
                <w:iCs/>
                <w:szCs w:val="20"/>
              </w:rPr>
              <w:t xml:space="preserve"> Election 2.6(</w:t>
            </w:r>
            <w:r w:rsidR="00155BD8">
              <w:rPr>
                <w:bCs/>
                <w:iCs/>
                <w:szCs w:val="20"/>
              </w:rPr>
              <w:t>d</w:t>
            </w:r>
            <w:r w:rsidR="00472D6F">
              <w:rPr>
                <w:bCs/>
                <w:iCs/>
                <w:szCs w:val="20"/>
              </w:rPr>
              <w:t xml:space="preserve">) shortens the </w:t>
            </w:r>
            <w:r w:rsidR="00A82FE0">
              <w:rPr>
                <w:bCs/>
                <w:iCs/>
                <w:szCs w:val="20"/>
              </w:rPr>
              <w:t>10-Year Rule.</w:t>
            </w:r>
          </w:p>
        </w:tc>
      </w:tr>
      <w:tr w:rsidR="003550D3" w14:paraId="30F37501" w14:textId="77777777" w:rsidTr="0027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F68DD92" w14:textId="06DC8301" w:rsidR="00A82FE0" w:rsidRDefault="00A82FE0" w:rsidP="00F11B18">
            <w:pPr>
              <w:jc w:val="center"/>
              <w:rPr>
                <w:bCs w:val="0"/>
                <w:iCs/>
                <w:szCs w:val="20"/>
              </w:rPr>
            </w:pPr>
            <w:r>
              <w:rPr>
                <w:bCs w:val="0"/>
                <w:iCs/>
                <w:szCs w:val="20"/>
              </w:rPr>
              <w:t>7</w:t>
            </w:r>
          </w:p>
        </w:tc>
        <w:tc>
          <w:tcPr>
            <w:tcW w:w="0" w:type="auto"/>
            <w:vAlign w:val="center"/>
          </w:tcPr>
          <w:p w14:paraId="55090EF7" w14:textId="4D0C4B96" w:rsidR="00A82FE0" w:rsidRDefault="00A82FE0"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CARES RMD Waivers for 5-Year Rule</w:t>
            </w:r>
          </w:p>
        </w:tc>
        <w:tc>
          <w:tcPr>
            <w:tcW w:w="1292" w:type="dxa"/>
            <w:vAlign w:val="center"/>
          </w:tcPr>
          <w:p w14:paraId="57900D45" w14:textId="6F4A46BF" w:rsidR="00A82FE0" w:rsidRDefault="00731912"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 gov’t 457(b)</w:t>
            </w:r>
          </w:p>
        </w:tc>
        <w:tc>
          <w:tcPr>
            <w:tcW w:w="5395" w:type="dxa"/>
            <w:vAlign w:val="center"/>
          </w:tcPr>
          <w:p w14:paraId="1A86C9BA" w14:textId="77777777" w:rsidR="00A82FE0" w:rsidRDefault="00150F6D"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If Participant died </w:t>
            </w:r>
            <w:r w:rsidR="00C96DFE">
              <w:rPr>
                <w:bCs/>
                <w:iCs/>
                <w:szCs w:val="20"/>
              </w:rPr>
              <w:t>during 2015-2019</w:t>
            </w:r>
            <w:r w:rsidR="00936DD0">
              <w:rPr>
                <w:bCs/>
                <w:iCs/>
                <w:szCs w:val="20"/>
              </w:rPr>
              <w:t>, and distributions follow the 5-Year Rule</w:t>
            </w:r>
            <w:r w:rsidR="000F1CF7">
              <w:rPr>
                <w:bCs/>
                <w:iCs/>
                <w:szCs w:val="20"/>
              </w:rPr>
              <w:t>, will the distribution be extended one year?</w:t>
            </w:r>
          </w:p>
          <w:p w14:paraId="4C59ED5A" w14:textId="4C57F1BE" w:rsidR="000F1CF7" w:rsidRDefault="000F1CF7"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Default is </w:t>
            </w:r>
            <w:proofErr w:type="gramStart"/>
            <w:r>
              <w:rPr>
                <w:bCs/>
                <w:iCs/>
                <w:szCs w:val="20"/>
              </w:rPr>
              <w:t>yes, unless</w:t>
            </w:r>
            <w:proofErr w:type="gramEnd"/>
            <w:r>
              <w:rPr>
                <w:bCs/>
                <w:iCs/>
                <w:szCs w:val="20"/>
              </w:rPr>
              <w:t xml:space="preserve"> </w:t>
            </w:r>
            <w:r w:rsidR="00DC12DE">
              <w:rPr>
                <w:bCs/>
                <w:iCs/>
                <w:szCs w:val="20"/>
              </w:rPr>
              <w:t>beneficiary waives it.</w:t>
            </w:r>
            <w:r w:rsidR="00CD0D23">
              <w:rPr>
                <w:bCs/>
                <w:iCs/>
                <w:szCs w:val="20"/>
              </w:rPr>
              <w:t xml:space="preserve"> Election 2.7(a) keeps distributions at 5 years unless beneficiary requests one-year extension.  Election 2</w:t>
            </w:r>
            <w:r w:rsidR="007F3269">
              <w:rPr>
                <w:bCs/>
                <w:iCs/>
                <w:szCs w:val="20"/>
              </w:rPr>
              <w:t>.</w:t>
            </w:r>
            <w:r w:rsidR="00CD0D23">
              <w:rPr>
                <w:bCs/>
                <w:iCs/>
                <w:szCs w:val="20"/>
              </w:rPr>
              <w:t xml:space="preserve">7(b) </w:t>
            </w:r>
            <w:r w:rsidR="000646FB">
              <w:rPr>
                <w:bCs/>
                <w:iCs/>
                <w:szCs w:val="20"/>
              </w:rPr>
              <w:t>leaves plan provisions</w:t>
            </w:r>
            <w:r w:rsidR="002755BF">
              <w:rPr>
                <w:bCs/>
                <w:iCs/>
                <w:szCs w:val="20"/>
              </w:rPr>
              <w:t xml:space="preserve"> unchanged</w:t>
            </w:r>
            <w:r w:rsidR="000646FB">
              <w:rPr>
                <w:bCs/>
                <w:iCs/>
                <w:szCs w:val="20"/>
              </w:rPr>
              <w:t>.</w:t>
            </w:r>
            <w:r w:rsidR="00A303E6">
              <w:rPr>
                <w:bCs/>
                <w:iCs/>
                <w:szCs w:val="20"/>
              </w:rPr>
              <w:t xml:space="preserve"> See explanation below.</w:t>
            </w:r>
          </w:p>
        </w:tc>
      </w:tr>
      <w:tr w:rsidR="00B23EAE" w14:paraId="14005856" w14:textId="77777777" w:rsidTr="002755BF">
        <w:tc>
          <w:tcPr>
            <w:cnfStyle w:val="001000000000" w:firstRow="0" w:lastRow="0" w:firstColumn="1" w:lastColumn="0" w:oddVBand="0" w:evenVBand="0" w:oddHBand="0" w:evenHBand="0" w:firstRowFirstColumn="0" w:firstRowLastColumn="0" w:lastRowFirstColumn="0" w:lastRowLastColumn="0"/>
            <w:tcW w:w="0" w:type="auto"/>
            <w:vAlign w:val="center"/>
          </w:tcPr>
          <w:p w14:paraId="7911539D" w14:textId="52603914" w:rsidR="00B23EAE" w:rsidRDefault="00874E89" w:rsidP="00B23EAE">
            <w:pPr>
              <w:jc w:val="center"/>
              <w:rPr>
                <w:bCs w:val="0"/>
                <w:iCs/>
                <w:szCs w:val="20"/>
              </w:rPr>
            </w:pPr>
            <w:r>
              <w:rPr>
                <w:bCs w:val="0"/>
                <w:iCs/>
                <w:szCs w:val="20"/>
              </w:rPr>
              <w:t>8</w:t>
            </w:r>
          </w:p>
        </w:tc>
        <w:tc>
          <w:tcPr>
            <w:tcW w:w="0" w:type="auto"/>
            <w:vAlign w:val="center"/>
          </w:tcPr>
          <w:p w14:paraId="28C1AF97" w14:textId="11BF873A" w:rsidR="00B23EAE" w:rsidRDefault="00B23EAE" w:rsidP="00B23EA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LTPT Employees</w:t>
            </w:r>
          </w:p>
        </w:tc>
        <w:tc>
          <w:tcPr>
            <w:tcW w:w="1292" w:type="dxa"/>
            <w:vAlign w:val="center"/>
          </w:tcPr>
          <w:p w14:paraId="2979E995" w14:textId="2D8342C4" w:rsidR="00B23EAE" w:rsidRDefault="00B23EAE" w:rsidP="00B23EA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w:t>
            </w:r>
          </w:p>
        </w:tc>
        <w:tc>
          <w:tcPr>
            <w:tcW w:w="5395" w:type="dxa"/>
            <w:vAlign w:val="center"/>
          </w:tcPr>
          <w:p w14:paraId="4502B5AC" w14:textId="1DC6D423" w:rsidR="00B23EAE" w:rsidRDefault="00B23EAE" w:rsidP="00B23EA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Implements LTPT rules. There are several elections. LTPT Participants can only defer unless Election 2.11(a) is selected. All deferral rules that apply generally apply to LTPT Participants unless Election 2.11(b) is selected. LTPT Participants enter on semi-annual entry dates unless Election 2.11(c) is selected. Election 2.11(d) allows exclusion of LTPT Employees by category </w:t>
            </w:r>
            <w:r w:rsidRPr="003550D3">
              <w:rPr>
                <w:bCs/>
                <w:iCs/>
                <w:color w:val="FF0000"/>
                <w:szCs w:val="20"/>
              </w:rPr>
              <w:t>(see important warning below)</w:t>
            </w:r>
            <w:r>
              <w:rPr>
                <w:bCs/>
                <w:iCs/>
                <w:szCs w:val="20"/>
              </w:rPr>
              <w:t>. The minimum age for LTPT Employees is 21 unless Election 2.11(e) is selected.</w:t>
            </w:r>
          </w:p>
        </w:tc>
      </w:tr>
      <w:tr w:rsidR="003550D3" w14:paraId="6E3AB7B1" w14:textId="77777777" w:rsidTr="0027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AA0B0AC" w14:textId="11D1A5B7" w:rsidR="00745ECA" w:rsidRDefault="00745ECA" w:rsidP="00745ECA">
            <w:pPr>
              <w:jc w:val="center"/>
              <w:rPr>
                <w:bCs w:val="0"/>
                <w:iCs/>
                <w:szCs w:val="20"/>
              </w:rPr>
            </w:pPr>
            <w:r>
              <w:rPr>
                <w:iCs/>
                <w:szCs w:val="20"/>
              </w:rPr>
              <w:t>9</w:t>
            </w:r>
          </w:p>
        </w:tc>
        <w:tc>
          <w:tcPr>
            <w:tcW w:w="0" w:type="auto"/>
            <w:vAlign w:val="center"/>
          </w:tcPr>
          <w:p w14:paraId="41A68649" w14:textId="4B3DAA86" w:rsidR="00745ECA" w:rsidRDefault="00745ECA" w:rsidP="00745EC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QACA maximum default deferral can be 15% after </w:t>
            </w:r>
            <w:r>
              <w:rPr>
                <w:bCs/>
                <w:iCs/>
                <w:szCs w:val="20"/>
              </w:rPr>
              <w:lastRenderedPageBreak/>
              <w:t>first year</w:t>
            </w:r>
          </w:p>
        </w:tc>
        <w:tc>
          <w:tcPr>
            <w:tcW w:w="1292" w:type="dxa"/>
            <w:vAlign w:val="center"/>
          </w:tcPr>
          <w:p w14:paraId="62394E12" w14:textId="4843BC67" w:rsidR="00745ECA" w:rsidRDefault="00745ECA" w:rsidP="00745EC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lastRenderedPageBreak/>
              <w:t>401(k), 403(b)</w:t>
            </w:r>
          </w:p>
        </w:tc>
        <w:tc>
          <w:tcPr>
            <w:tcW w:w="5395" w:type="dxa"/>
            <w:vAlign w:val="center"/>
          </w:tcPr>
          <w:p w14:paraId="2C7A6328" w14:textId="507E61D6" w:rsidR="00745ECA" w:rsidRDefault="00745ECA" w:rsidP="00745EC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Turned OFF by default. To allow automatic deferrals to increase to 15%, check </w:t>
            </w:r>
            <w:r w:rsidR="006A7EAE">
              <w:rPr>
                <w:bCs/>
                <w:iCs/>
                <w:szCs w:val="20"/>
              </w:rPr>
              <w:t>El</w:t>
            </w:r>
            <w:r>
              <w:rPr>
                <w:bCs/>
                <w:iCs/>
                <w:szCs w:val="20"/>
              </w:rPr>
              <w:t>ection 2.9</w:t>
            </w:r>
            <w:r w:rsidR="006A7EAE">
              <w:rPr>
                <w:bCs/>
                <w:iCs/>
                <w:szCs w:val="20"/>
              </w:rPr>
              <w:t>(a)</w:t>
            </w:r>
            <w:r w:rsidR="003D2C93">
              <w:rPr>
                <w:bCs/>
                <w:iCs/>
                <w:szCs w:val="20"/>
              </w:rPr>
              <w:t xml:space="preserve">. </w:t>
            </w:r>
            <w:r w:rsidR="007A2B29">
              <w:rPr>
                <w:bCs/>
                <w:iCs/>
                <w:szCs w:val="20"/>
              </w:rPr>
              <w:t xml:space="preserve">You can optionally enter the </w:t>
            </w:r>
            <w:r w:rsidR="007A2B29">
              <w:rPr>
                <w:bCs/>
                <w:iCs/>
                <w:szCs w:val="20"/>
              </w:rPr>
              <w:lastRenderedPageBreak/>
              <w:t xml:space="preserve">schedule of default distributions in 2.9(b). </w:t>
            </w:r>
            <w:r w:rsidR="001B2DBC">
              <w:rPr>
                <w:bCs/>
                <w:iCs/>
                <w:szCs w:val="20"/>
              </w:rPr>
              <w:t>See explanation below.</w:t>
            </w:r>
          </w:p>
        </w:tc>
      </w:tr>
      <w:tr w:rsidR="003550D3" w14:paraId="018062EA" w14:textId="77777777" w:rsidTr="002755BF">
        <w:tc>
          <w:tcPr>
            <w:cnfStyle w:val="001000000000" w:firstRow="0" w:lastRow="0" w:firstColumn="1" w:lastColumn="0" w:oddVBand="0" w:evenVBand="0" w:oddHBand="0" w:evenHBand="0" w:firstRowFirstColumn="0" w:firstRowLastColumn="0" w:lastRowFirstColumn="0" w:lastRowLastColumn="0"/>
            <w:tcW w:w="0" w:type="auto"/>
            <w:vAlign w:val="center"/>
          </w:tcPr>
          <w:p w14:paraId="3EB70F72" w14:textId="2DFB4B3E" w:rsidR="00745ECA" w:rsidRDefault="00745ECA" w:rsidP="00745ECA">
            <w:pPr>
              <w:jc w:val="center"/>
              <w:rPr>
                <w:iCs/>
                <w:szCs w:val="20"/>
              </w:rPr>
            </w:pPr>
            <w:r>
              <w:rPr>
                <w:bCs w:val="0"/>
                <w:iCs/>
                <w:szCs w:val="20"/>
              </w:rPr>
              <w:lastRenderedPageBreak/>
              <w:t>10</w:t>
            </w:r>
          </w:p>
        </w:tc>
        <w:tc>
          <w:tcPr>
            <w:tcW w:w="0" w:type="auto"/>
            <w:vAlign w:val="center"/>
          </w:tcPr>
          <w:p w14:paraId="0FD86F85" w14:textId="50504249" w:rsidR="00745ECA" w:rsidRDefault="00745ECA" w:rsidP="00745EC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In-service distributions at age 59 ½ </w:t>
            </w:r>
          </w:p>
        </w:tc>
        <w:tc>
          <w:tcPr>
            <w:tcW w:w="1292" w:type="dxa"/>
            <w:vAlign w:val="center"/>
          </w:tcPr>
          <w:p w14:paraId="7D3AF264" w14:textId="09590503" w:rsidR="00745ECA" w:rsidRDefault="00745ECA" w:rsidP="00745EC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Pension, gov’t 457(b)</w:t>
            </w:r>
          </w:p>
        </w:tc>
        <w:tc>
          <w:tcPr>
            <w:tcW w:w="5395" w:type="dxa"/>
            <w:vAlign w:val="center"/>
          </w:tcPr>
          <w:p w14:paraId="5971E58E" w14:textId="5B62F2E0" w:rsidR="00745ECA" w:rsidRDefault="00745ECA" w:rsidP="00745EC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Turned OFF by default. To allow in-service distributions, select </w:t>
            </w:r>
            <w:r w:rsidR="00094602">
              <w:rPr>
                <w:bCs/>
                <w:iCs/>
                <w:szCs w:val="20"/>
              </w:rPr>
              <w:t>Ele</w:t>
            </w:r>
            <w:r>
              <w:rPr>
                <w:bCs/>
                <w:iCs/>
                <w:szCs w:val="20"/>
              </w:rPr>
              <w:t>ction 2.10(a). To apply a later in-service distribution age than 59 ½, select 2.10(</w:t>
            </w:r>
            <w:r w:rsidR="00402961">
              <w:rPr>
                <w:bCs/>
                <w:iCs/>
                <w:szCs w:val="20"/>
              </w:rPr>
              <w:t>b</w:t>
            </w:r>
            <w:r>
              <w:rPr>
                <w:bCs/>
                <w:iCs/>
                <w:szCs w:val="20"/>
              </w:rPr>
              <w:t>) and enter the age.</w:t>
            </w:r>
            <w:r w:rsidR="00402961">
              <w:rPr>
                <w:bCs/>
                <w:iCs/>
                <w:szCs w:val="20"/>
              </w:rPr>
              <w:t xml:space="preserve"> </w:t>
            </w:r>
          </w:p>
        </w:tc>
      </w:tr>
      <w:tr w:rsidR="00EC06FC" w14:paraId="67BD6E30" w14:textId="77777777" w:rsidTr="0027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3604935" w14:textId="4D909455" w:rsidR="00EC06FC" w:rsidRDefault="00EC06FC" w:rsidP="00745ECA">
            <w:pPr>
              <w:jc w:val="center"/>
              <w:rPr>
                <w:bCs w:val="0"/>
                <w:iCs/>
                <w:szCs w:val="20"/>
              </w:rPr>
            </w:pPr>
            <w:r>
              <w:rPr>
                <w:bCs w:val="0"/>
                <w:iCs/>
                <w:szCs w:val="20"/>
              </w:rPr>
              <w:t>12</w:t>
            </w:r>
          </w:p>
        </w:tc>
        <w:tc>
          <w:tcPr>
            <w:tcW w:w="0" w:type="auto"/>
            <w:vAlign w:val="center"/>
          </w:tcPr>
          <w:p w14:paraId="4FE56E70" w14:textId="5CA27650" w:rsidR="00EC06FC" w:rsidRDefault="00EC06FC" w:rsidP="00745EC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Updates RMD tables</w:t>
            </w:r>
          </w:p>
        </w:tc>
        <w:tc>
          <w:tcPr>
            <w:tcW w:w="1292" w:type="dxa"/>
            <w:vAlign w:val="center"/>
          </w:tcPr>
          <w:p w14:paraId="2FCAA604" w14:textId="78ECFD2A" w:rsidR="00EC06FC" w:rsidRDefault="00EC06FC" w:rsidP="00745EC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w:t>
            </w:r>
          </w:p>
        </w:tc>
        <w:tc>
          <w:tcPr>
            <w:tcW w:w="5395" w:type="dxa"/>
            <w:vAlign w:val="center"/>
          </w:tcPr>
          <w:p w14:paraId="0C4FAD71" w14:textId="066D0FC8" w:rsidR="00EC06FC" w:rsidRDefault="00EC06FC" w:rsidP="00D905CF">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None</w:t>
            </w:r>
          </w:p>
        </w:tc>
      </w:tr>
      <w:tr w:rsidR="003550D3" w14:paraId="658914AE" w14:textId="77777777" w:rsidTr="002755BF">
        <w:tc>
          <w:tcPr>
            <w:cnfStyle w:val="001000000000" w:firstRow="0" w:lastRow="0" w:firstColumn="1" w:lastColumn="0" w:oddVBand="0" w:evenVBand="0" w:oddHBand="0" w:evenHBand="0" w:firstRowFirstColumn="0" w:firstRowLastColumn="0" w:lastRowFirstColumn="0" w:lastRowLastColumn="0"/>
            <w:tcW w:w="0" w:type="auto"/>
            <w:vAlign w:val="center"/>
          </w:tcPr>
          <w:p w14:paraId="1962E5BA" w14:textId="75505DCA" w:rsidR="006E3452" w:rsidRDefault="006E3452" w:rsidP="006E3452">
            <w:pPr>
              <w:jc w:val="center"/>
              <w:rPr>
                <w:iCs/>
                <w:szCs w:val="20"/>
              </w:rPr>
            </w:pPr>
            <w:r>
              <w:rPr>
                <w:iCs/>
                <w:szCs w:val="20"/>
              </w:rPr>
              <w:t>13</w:t>
            </w:r>
          </w:p>
        </w:tc>
        <w:tc>
          <w:tcPr>
            <w:tcW w:w="0" w:type="auto"/>
            <w:vAlign w:val="center"/>
          </w:tcPr>
          <w:p w14:paraId="0213DAE7" w14:textId="3007E0DD" w:rsidR="006E3452" w:rsidRDefault="006E3452" w:rsidP="006E345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Permit retroactive plan adoption after end of tax year</w:t>
            </w:r>
          </w:p>
        </w:tc>
        <w:tc>
          <w:tcPr>
            <w:tcW w:w="1292" w:type="dxa"/>
            <w:vAlign w:val="center"/>
          </w:tcPr>
          <w:p w14:paraId="4EC18A96" w14:textId="2EABA307" w:rsidR="006E3452" w:rsidRDefault="006E3452" w:rsidP="006E345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w:t>
            </w:r>
          </w:p>
        </w:tc>
        <w:tc>
          <w:tcPr>
            <w:tcW w:w="5395" w:type="dxa"/>
            <w:vAlign w:val="center"/>
          </w:tcPr>
          <w:p w14:paraId="71EE7EF3" w14:textId="615B9C70" w:rsidR="006E3452" w:rsidRDefault="006E3452" w:rsidP="006E345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None</w:t>
            </w:r>
            <w:r w:rsidR="00925874">
              <w:rPr>
                <w:bCs/>
                <w:iCs/>
                <w:szCs w:val="20"/>
              </w:rPr>
              <w:t>.</w:t>
            </w:r>
            <w:r>
              <w:rPr>
                <w:bCs/>
                <w:iCs/>
                <w:szCs w:val="20"/>
              </w:rPr>
              <w:t xml:space="preserve"> Applies to new plans only</w:t>
            </w:r>
          </w:p>
        </w:tc>
      </w:tr>
      <w:tr w:rsidR="003550D3" w14:paraId="6D3FD8CF" w14:textId="77777777" w:rsidTr="0027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06D9BF9" w14:textId="53984891" w:rsidR="006E3452" w:rsidRDefault="006E3452" w:rsidP="006E3452">
            <w:pPr>
              <w:jc w:val="center"/>
              <w:rPr>
                <w:iCs/>
                <w:szCs w:val="20"/>
              </w:rPr>
            </w:pPr>
            <w:r>
              <w:rPr>
                <w:iCs/>
                <w:szCs w:val="20"/>
              </w:rPr>
              <w:t>14</w:t>
            </w:r>
          </w:p>
        </w:tc>
        <w:tc>
          <w:tcPr>
            <w:tcW w:w="0" w:type="auto"/>
            <w:vAlign w:val="center"/>
          </w:tcPr>
          <w:p w14:paraId="48056717" w14:textId="6AF7256C" w:rsidR="006E3452" w:rsidRDefault="006E3452" w:rsidP="006E345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Difficulty of care payments</w:t>
            </w:r>
          </w:p>
        </w:tc>
        <w:tc>
          <w:tcPr>
            <w:tcW w:w="1292" w:type="dxa"/>
            <w:vAlign w:val="center"/>
          </w:tcPr>
          <w:p w14:paraId="1250A9B6" w14:textId="024CD7A2" w:rsidR="006E3452" w:rsidRDefault="006E3452" w:rsidP="006E345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w:t>
            </w:r>
          </w:p>
        </w:tc>
        <w:tc>
          <w:tcPr>
            <w:tcW w:w="5395" w:type="dxa"/>
            <w:vAlign w:val="center"/>
          </w:tcPr>
          <w:p w14:paraId="3B8B621D" w14:textId="43B516E3" w:rsidR="006E3452" w:rsidRDefault="006E3452" w:rsidP="006E345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None</w:t>
            </w:r>
          </w:p>
        </w:tc>
      </w:tr>
      <w:tr w:rsidR="003550D3" w14:paraId="336ADCEE" w14:textId="77777777" w:rsidTr="002755BF">
        <w:tc>
          <w:tcPr>
            <w:cnfStyle w:val="001000000000" w:firstRow="0" w:lastRow="0" w:firstColumn="1" w:lastColumn="0" w:oddVBand="0" w:evenVBand="0" w:oddHBand="0" w:evenHBand="0" w:firstRowFirstColumn="0" w:firstRowLastColumn="0" w:lastRowFirstColumn="0" w:lastRowLastColumn="0"/>
            <w:tcW w:w="0" w:type="auto"/>
            <w:vAlign w:val="center"/>
          </w:tcPr>
          <w:p w14:paraId="4E51E708" w14:textId="4B07935F" w:rsidR="006E3452" w:rsidRDefault="006E3452" w:rsidP="006E3452">
            <w:pPr>
              <w:jc w:val="center"/>
              <w:rPr>
                <w:iCs/>
                <w:szCs w:val="20"/>
              </w:rPr>
            </w:pPr>
            <w:r>
              <w:rPr>
                <w:bCs w:val="0"/>
                <w:iCs/>
                <w:szCs w:val="20"/>
              </w:rPr>
              <w:t>1</w:t>
            </w:r>
            <w:r w:rsidR="00122EAA">
              <w:rPr>
                <w:bCs w:val="0"/>
                <w:iCs/>
                <w:szCs w:val="20"/>
              </w:rPr>
              <w:t>5</w:t>
            </w:r>
          </w:p>
        </w:tc>
        <w:tc>
          <w:tcPr>
            <w:tcW w:w="0" w:type="auto"/>
            <w:vAlign w:val="center"/>
          </w:tcPr>
          <w:p w14:paraId="3718ECE2" w14:textId="2DD80937" w:rsidR="006E3452" w:rsidRDefault="006E3452" w:rsidP="006E345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Amendment to facilitate 403(b) plan terminations with custodial accounts</w:t>
            </w:r>
          </w:p>
        </w:tc>
        <w:tc>
          <w:tcPr>
            <w:tcW w:w="1292" w:type="dxa"/>
            <w:vAlign w:val="center"/>
          </w:tcPr>
          <w:p w14:paraId="52445ECF" w14:textId="53E6510E" w:rsidR="006E3452" w:rsidRDefault="006E3452" w:rsidP="006E345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403(b)</w:t>
            </w:r>
          </w:p>
        </w:tc>
        <w:tc>
          <w:tcPr>
            <w:tcW w:w="5395" w:type="dxa"/>
            <w:vAlign w:val="center"/>
          </w:tcPr>
          <w:p w14:paraId="23F61AB2" w14:textId="45C06A44" w:rsidR="006E3452" w:rsidRDefault="006E3452" w:rsidP="006E345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None</w:t>
            </w:r>
          </w:p>
        </w:tc>
      </w:tr>
      <w:tr w:rsidR="003550D3" w14:paraId="083B54B7" w14:textId="77777777" w:rsidTr="0027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B9092DD" w14:textId="432F0113" w:rsidR="006E3452" w:rsidRDefault="00122EAA" w:rsidP="006E3452">
            <w:pPr>
              <w:jc w:val="center"/>
              <w:rPr>
                <w:iCs/>
                <w:szCs w:val="20"/>
              </w:rPr>
            </w:pPr>
            <w:r>
              <w:rPr>
                <w:iCs/>
                <w:szCs w:val="20"/>
              </w:rPr>
              <w:t>16</w:t>
            </w:r>
          </w:p>
        </w:tc>
        <w:tc>
          <w:tcPr>
            <w:tcW w:w="0" w:type="auto"/>
            <w:vAlign w:val="center"/>
          </w:tcPr>
          <w:p w14:paraId="145EE402" w14:textId="6A0EC34F" w:rsidR="006E3452" w:rsidRDefault="00122EAA" w:rsidP="006E345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Deemed IRA accounts are not subject to maximum age</w:t>
            </w:r>
          </w:p>
        </w:tc>
        <w:tc>
          <w:tcPr>
            <w:tcW w:w="1292" w:type="dxa"/>
            <w:vAlign w:val="center"/>
          </w:tcPr>
          <w:p w14:paraId="175DCB4A" w14:textId="1D569909" w:rsidR="006E3452" w:rsidRDefault="00925874" w:rsidP="006E345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w:t>
            </w:r>
          </w:p>
        </w:tc>
        <w:tc>
          <w:tcPr>
            <w:tcW w:w="5395" w:type="dxa"/>
            <w:vAlign w:val="center"/>
          </w:tcPr>
          <w:p w14:paraId="044C8FF5" w14:textId="2EFCB8A0" w:rsidR="006E3452" w:rsidRDefault="00925874" w:rsidP="006E345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None. Few plans have deemed</w:t>
            </w:r>
            <w:r w:rsidR="007A7122">
              <w:rPr>
                <w:bCs/>
                <w:iCs/>
                <w:szCs w:val="20"/>
              </w:rPr>
              <w:t xml:space="preserve"> IRA or designated IRA provisions.</w:t>
            </w:r>
            <w:r w:rsidR="00ED4985">
              <w:rPr>
                <w:bCs/>
                <w:iCs/>
                <w:szCs w:val="20"/>
              </w:rPr>
              <w:t xml:space="preserve"> Among Relius </w:t>
            </w:r>
            <w:r w:rsidR="00137A46">
              <w:rPr>
                <w:bCs/>
                <w:iCs/>
                <w:szCs w:val="20"/>
              </w:rPr>
              <w:t xml:space="preserve">preapproved </w:t>
            </w:r>
            <w:r w:rsidR="00ED4985">
              <w:rPr>
                <w:bCs/>
                <w:iCs/>
                <w:szCs w:val="20"/>
              </w:rPr>
              <w:t>documents, only the PPD document allows deemed IRAs</w:t>
            </w:r>
            <w:r w:rsidR="00216E0B">
              <w:rPr>
                <w:bCs/>
                <w:iCs/>
                <w:szCs w:val="20"/>
              </w:rPr>
              <w:t>. September 30, 2021, FIS provided a standalone amendment to add</w:t>
            </w:r>
            <w:r w:rsidR="005067ED">
              <w:rPr>
                <w:bCs/>
                <w:iCs/>
                <w:szCs w:val="20"/>
              </w:rPr>
              <w:t xml:space="preserve"> a deemed IRA feature.  </w:t>
            </w:r>
          </w:p>
        </w:tc>
      </w:tr>
    </w:tbl>
    <w:p w14:paraId="1B8FD2A0" w14:textId="77777777" w:rsidR="00F11B18" w:rsidRPr="001F1723" w:rsidRDefault="00F11B18" w:rsidP="00F11B18">
      <w:pPr>
        <w:rPr>
          <w:bCs/>
          <w:iCs/>
          <w:szCs w:val="20"/>
        </w:rPr>
      </w:pPr>
    </w:p>
    <w:p w14:paraId="1F5E01CB" w14:textId="00076E3B" w:rsidR="009B6EBA" w:rsidRPr="00612363" w:rsidRDefault="00612363" w:rsidP="00026565">
      <w:pPr>
        <w:rPr>
          <w:b/>
          <w:color w:val="FF0000"/>
          <w:szCs w:val="20"/>
        </w:rPr>
      </w:pPr>
      <w:r w:rsidRPr="00612363">
        <w:rPr>
          <w:b/>
          <w:color w:val="FF0000"/>
          <w:szCs w:val="20"/>
        </w:rPr>
        <w:t>Warning:  Excluding LTPT Employees</w:t>
      </w:r>
      <w:r w:rsidR="00DF7B19">
        <w:rPr>
          <w:b/>
          <w:color w:val="FF0000"/>
          <w:szCs w:val="20"/>
        </w:rPr>
        <w:t xml:space="preserve"> (Election 2.</w:t>
      </w:r>
      <w:r w:rsidR="00061CD1">
        <w:rPr>
          <w:b/>
          <w:color w:val="FF0000"/>
          <w:szCs w:val="20"/>
        </w:rPr>
        <w:t>8</w:t>
      </w:r>
      <w:r w:rsidR="00DF7B19">
        <w:rPr>
          <w:b/>
          <w:color w:val="FF0000"/>
          <w:szCs w:val="20"/>
        </w:rPr>
        <w:t>(d))</w:t>
      </w:r>
    </w:p>
    <w:p w14:paraId="2B99D231" w14:textId="77777777" w:rsidR="009B6EBA" w:rsidRDefault="009B6EBA" w:rsidP="00026565">
      <w:pPr>
        <w:rPr>
          <w:b/>
          <w:szCs w:val="20"/>
        </w:rPr>
      </w:pPr>
    </w:p>
    <w:p w14:paraId="02004804" w14:textId="53C2B774" w:rsidR="00612363" w:rsidRDefault="000021FC" w:rsidP="00026565">
      <w:pPr>
        <w:rPr>
          <w:bCs/>
          <w:szCs w:val="20"/>
        </w:rPr>
      </w:pPr>
      <w:r>
        <w:rPr>
          <w:bCs/>
          <w:szCs w:val="20"/>
        </w:rPr>
        <w:t xml:space="preserve">Some practitioners believe that the plan can exclude a </w:t>
      </w:r>
      <w:r w:rsidR="002A7D3A">
        <w:rPr>
          <w:bCs/>
          <w:szCs w:val="20"/>
        </w:rPr>
        <w:t>classification of LTPT employees from deferring if that group is excluded for other purposes</w:t>
      </w:r>
      <w:r w:rsidR="008E07B4">
        <w:rPr>
          <w:bCs/>
          <w:szCs w:val="20"/>
        </w:rPr>
        <w:t xml:space="preserve"> and the plan passes coverage. For example, many plans routinely exclude Reclassified Employees or employees working for related employers which have not signed Participation Agr</w:t>
      </w:r>
      <w:r w:rsidR="00D06441">
        <w:rPr>
          <w:bCs/>
          <w:szCs w:val="20"/>
        </w:rPr>
        <w:t>eements. However, neither the statute nor IRS guidance to date s</w:t>
      </w:r>
      <w:r w:rsidR="008A45DB">
        <w:rPr>
          <w:bCs/>
          <w:szCs w:val="20"/>
        </w:rPr>
        <w:t>tate</w:t>
      </w:r>
      <w:r w:rsidR="00D06441">
        <w:rPr>
          <w:bCs/>
          <w:szCs w:val="20"/>
        </w:rPr>
        <w:t xml:space="preserve">s that this is possible. </w:t>
      </w:r>
      <w:r w:rsidR="008A45DB">
        <w:rPr>
          <w:bCs/>
          <w:szCs w:val="20"/>
        </w:rPr>
        <w:t>Thus,</w:t>
      </w:r>
      <w:r w:rsidR="00197C9D">
        <w:rPr>
          <w:bCs/>
          <w:szCs w:val="20"/>
        </w:rPr>
        <w:t xml:space="preserve"> </w:t>
      </w:r>
      <w:r w:rsidR="008A45DB">
        <w:rPr>
          <w:bCs/>
          <w:szCs w:val="20"/>
        </w:rPr>
        <w:t xml:space="preserve">any </w:t>
      </w:r>
      <w:r w:rsidR="00197C9D">
        <w:rPr>
          <w:bCs/>
          <w:szCs w:val="20"/>
        </w:rPr>
        <w:t>2.</w:t>
      </w:r>
      <w:r w:rsidR="00061CD1">
        <w:rPr>
          <w:bCs/>
          <w:szCs w:val="20"/>
        </w:rPr>
        <w:t>8</w:t>
      </w:r>
      <w:r w:rsidR="008A45DB">
        <w:rPr>
          <w:bCs/>
          <w:szCs w:val="20"/>
        </w:rPr>
        <w:t xml:space="preserve">(d) </w:t>
      </w:r>
      <w:r w:rsidR="00197C9D">
        <w:rPr>
          <w:bCs/>
          <w:szCs w:val="20"/>
        </w:rPr>
        <w:t xml:space="preserve">Election </w:t>
      </w:r>
      <w:r w:rsidR="008A45DB">
        <w:rPr>
          <w:bCs/>
          <w:szCs w:val="20"/>
        </w:rPr>
        <w:t xml:space="preserve">may </w:t>
      </w:r>
      <w:r w:rsidR="00744C85">
        <w:rPr>
          <w:bCs/>
          <w:szCs w:val="20"/>
        </w:rPr>
        <w:t xml:space="preserve">ultimately </w:t>
      </w:r>
      <w:r w:rsidR="008A45DB">
        <w:rPr>
          <w:bCs/>
          <w:szCs w:val="20"/>
        </w:rPr>
        <w:t>need to be revoked</w:t>
      </w:r>
      <w:r w:rsidR="004343A4">
        <w:rPr>
          <w:bCs/>
          <w:szCs w:val="20"/>
        </w:rPr>
        <w:t xml:space="preserve"> in operation</w:t>
      </w:r>
      <w:r w:rsidR="003430F4">
        <w:rPr>
          <w:bCs/>
          <w:szCs w:val="20"/>
        </w:rPr>
        <w:t>, depending on guidance</w:t>
      </w:r>
      <w:r w:rsidR="008A45DB">
        <w:rPr>
          <w:bCs/>
          <w:szCs w:val="20"/>
        </w:rPr>
        <w:t xml:space="preserve">. </w:t>
      </w:r>
      <w:r w:rsidR="00FD4A40">
        <w:rPr>
          <w:bCs/>
          <w:szCs w:val="20"/>
        </w:rPr>
        <w:t>Any exclu</w:t>
      </w:r>
      <w:r w:rsidR="00022F5D">
        <w:rPr>
          <w:bCs/>
          <w:szCs w:val="20"/>
        </w:rPr>
        <w:t>sion in 2.</w:t>
      </w:r>
      <w:r w:rsidR="00061CD1">
        <w:rPr>
          <w:bCs/>
          <w:szCs w:val="20"/>
        </w:rPr>
        <w:t>8</w:t>
      </w:r>
      <w:r w:rsidR="00022F5D">
        <w:rPr>
          <w:bCs/>
          <w:szCs w:val="20"/>
        </w:rPr>
        <w:t>(d) based on service</w:t>
      </w:r>
      <w:r w:rsidR="00146DE9">
        <w:rPr>
          <w:bCs/>
          <w:szCs w:val="20"/>
        </w:rPr>
        <w:t xml:space="preserve"> (such as status as a part-time employee) </w:t>
      </w:r>
      <w:r w:rsidR="009C51F2">
        <w:rPr>
          <w:bCs/>
          <w:szCs w:val="20"/>
        </w:rPr>
        <w:t>is invalid, even if it applies for other plan purposes</w:t>
      </w:r>
      <w:r w:rsidR="00022F5D">
        <w:rPr>
          <w:bCs/>
          <w:szCs w:val="20"/>
        </w:rPr>
        <w:t>.</w:t>
      </w:r>
      <w:r w:rsidR="00EF2F78">
        <w:rPr>
          <w:bCs/>
          <w:szCs w:val="20"/>
        </w:rPr>
        <w:t xml:space="preserve"> See Section </w:t>
      </w:r>
      <w:r w:rsidR="00061CD1">
        <w:rPr>
          <w:bCs/>
          <w:szCs w:val="20"/>
        </w:rPr>
        <w:t>8</w:t>
      </w:r>
      <w:r w:rsidR="00EF2F78">
        <w:rPr>
          <w:bCs/>
          <w:szCs w:val="20"/>
        </w:rPr>
        <w:t>.</w:t>
      </w:r>
      <w:r w:rsidR="006867E7">
        <w:rPr>
          <w:bCs/>
          <w:szCs w:val="20"/>
        </w:rPr>
        <w:t>8</w:t>
      </w:r>
      <w:r w:rsidR="00EF2F78">
        <w:rPr>
          <w:bCs/>
          <w:szCs w:val="20"/>
        </w:rPr>
        <w:t>(c)</w:t>
      </w:r>
      <w:r w:rsidR="009C51F2">
        <w:rPr>
          <w:bCs/>
          <w:szCs w:val="20"/>
        </w:rPr>
        <w:t>.</w:t>
      </w:r>
    </w:p>
    <w:p w14:paraId="1F325C5C" w14:textId="77777777" w:rsidR="003F7DC3" w:rsidRDefault="003F7DC3" w:rsidP="00026565">
      <w:pPr>
        <w:rPr>
          <w:bCs/>
          <w:szCs w:val="20"/>
        </w:rPr>
      </w:pPr>
    </w:p>
    <w:p w14:paraId="327E934C" w14:textId="3180C0DF" w:rsidR="003F7DC3" w:rsidRPr="007C11D1" w:rsidRDefault="00090567" w:rsidP="00026565">
      <w:pPr>
        <w:rPr>
          <w:b/>
          <w:szCs w:val="20"/>
        </w:rPr>
      </w:pPr>
      <w:r w:rsidRPr="007C11D1">
        <w:rPr>
          <w:b/>
          <w:szCs w:val="20"/>
        </w:rPr>
        <w:t>How does Article 7 impact plans</w:t>
      </w:r>
      <w:r w:rsidR="007C11D1" w:rsidRPr="007C11D1">
        <w:rPr>
          <w:b/>
          <w:szCs w:val="20"/>
        </w:rPr>
        <w:t>?  Do I need to make an election?</w:t>
      </w:r>
    </w:p>
    <w:p w14:paraId="038960C7" w14:textId="77777777" w:rsidR="007C11D1" w:rsidRDefault="007C11D1" w:rsidP="00026565">
      <w:pPr>
        <w:rPr>
          <w:bCs/>
          <w:szCs w:val="20"/>
        </w:rPr>
      </w:pPr>
    </w:p>
    <w:p w14:paraId="1D3F1AEC" w14:textId="23DB4B9B" w:rsidR="007C11D1" w:rsidRDefault="001E2A45" w:rsidP="00026565">
      <w:pPr>
        <w:rPr>
          <w:bCs/>
          <w:szCs w:val="20"/>
        </w:rPr>
      </w:pPr>
      <w:r>
        <w:rPr>
          <w:bCs/>
          <w:szCs w:val="20"/>
        </w:rPr>
        <w:t>Article 7</w:t>
      </w:r>
      <w:r w:rsidR="00AA5E42">
        <w:rPr>
          <w:bCs/>
          <w:szCs w:val="20"/>
        </w:rPr>
        <w:t xml:space="preserve"> addresses an issue in CARES not previously addressed directly in our CARES amendment.</w:t>
      </w:r>
      <w:r w:rsidR="00E757AB">
        <w:rPr>
          <w:bCs/>
          <w:szCs w:val="20"/>
        </w:rPr>
        <w:t xml:space="preserve"> The issue is limited to beneficiaries of</w:t>
      </w:r>
      <w:r w:rsidR="00CC5BCA">
        <w:rPr>
          <w:bCs/>
          <w:szCs w:val="20"/>
        </w:rPr>
        <w:t xml:space="preserve"> participants </w:t>
      </w:r>
      <w:r w:rsidR="00E757AB">
        <w:rPr>
          <w:bCs/>
          <w:szCs w:val="20"/>
        </w:rPr>
        <w:t>who died</w:t>
      </w:r>
      <w:r w:rsidR="00CC5BCA">
        <w:rPr>
          <w:bCs/>
          <w:szCs w:val="20"/>
        </w:rPr>
        <w:t xml:space="preserve"> between 2015 through 2019, and </w:t>
      </w:r>
      <w:r w:rsidR="00906B7F">
        <w:rPr>
          <w:bCs/>
          <w:szCs w:val="20"/>
        </w:rPr>
        <w:t>who are taking distributions pursuant to the 5-year rule under the RMD rules.</w:t>
      </w:r>
      <w:r w:rsidR="00312282">
        <w:rPr>
          <w:bCs/>
          <w:szCs w:val="20"/>
        </w:rPr>
        <w:t xml:space="preserve"> Many plans will not have</w:t>
      </w:r>
      <w:r w:rsidR="00F018E8">
        <w:rPr>
          <w:bCs/>
          <w:szCs w:val="20"/>
        </w:rPr>
        <w:t xml:space="preserve"> anyone in the category, and therefore article 7 is immaterial </w:t>
      </w:r>
      <w:r w:rsidR="002F5913">
        <w:rPr>
          <w:bCs/>
          <w:szCs w:val="20"/>
        </w:rPr>
        <w:t>a</w:t>
      </w:r>
      <w:r w:rsidR="00F018E8">
        <w:rPr>
          <w:bCs/>
          <w:szCs w:val="20"/>
        </w:rPr>
        <w:t>n</w:t>
      </w:r>
      <w:r w:rsidR="00746D0F">
        <w:rPr>
          <w:bCs/>
          <w:szCs w:val="20"/>
        </w:rPr>
        <w:t>d</w:t>
      </w:r>
      <w:r w:rsidR="00F018E8">
        <w:rPr>
          <w:bCs/>
          <w:szCs w:val="20"/>
        </w:rPr>
        <w:t xml:space="preserve"> election 2.7 can be disregarded.</w:t>
      </w:r>
    </w:p>
    <w:p w14:paraId="28003692" w14:textId="77777777" w:rsidR="00C07F65" w:rsidRDefault="00C07F65" w:rsidP="00026565">
      <w:pPr>
        <w:rPr>
          <w:bCs/>
          <w:szCs w:val="20"/>
        </w:rPr>
      </w:pPr>
    </w:p>
    <w:p w14:paraId="7490CE06" w14:textId="4A125607" w:rsidR="00C07F65" w:rsidRDefault="00344CB7" w:rsidP="00026565">
      <w:pPr>
        <w:rPr>
          <w:bCs/>
          <w:szCs w:val="20"/>
        </w:rPr>
      </w:pPr>
      <w:r>
        <w:rPr>
          <w:bCs/>
          <w:szCs w:val="20"/>
        </w:rPr>
        <w:t>Article 7 does not apply</w:t>
      </w:r>
      <w:r w:rsidR="009F52EE">
        <w:rPr>
          <w:bCs/>
          <w:szCs w:val="20"/>
        </w:rPr>
        <w:t xml:space="preserve"> to defined benefit plans or to 457(b) plans of tax-exempt employers.</w:t>
      </w:r>
      <w:r w:rsidR="006F42A2">
        <w:rPr>
          <w:bCs/>
          <w:szCs w:val="20"/>
        </w:rPr>
        <w:t xml:space="preserve"> </w:t>
      </w:r>
      <w:r w:rsidR="003B6D5A">
        <w:rPr>
          <w:bCs/>
          <w:szCs w:val="20"/>
        </w:rPr>
        <w:t xml:space="preserve">It </w:t>
      </w:r>
      <w:r w:rsidR="006F42A2">
        <w:rPr>
          <w:bCs/>
          <w:szCs w:val="20"/>
        </w:rPr>
        <w:t xml:space="preserve">gives the beneficiary the option to extend the RMD deadline </w:t>
      </w:r>
      <w:r w:rsidR="00DB14E9">
        <w:rPr>
          <w:bCs/>
          <w:szCs w:val="20"/>
        </w:rPr>
        <w:t xml:space="preserve">under the 5-year rule </w:t>
      </w:r>
      <w:r w:rsidR="006F42A2">
        <w:rPr>
          <w:bCs/>
          <w:szCs w:val="20"/>
        </w:rPr>
        <w:t>by one year.</w:t>
      </w:r>
      <w:r w:rsidR="00DB14E9">
        <w:rPr>
          <w:bCs/>
          <w:szCs w:val="20"/>
        </w:rPr>
        <w:t xml:space="preserve"> So</w:t>
      </w:r>
      <w:r w:rsidR="004B13E6">
        <w:rPr>
          <w:bCs/>
          <w:szCs w:val="20"/>
        </w:rPr>
        <w:t>,</w:t>
      </w:r>
      <w:r w:rsidR="00CE1726">
        <w:rPr>
          <w:bCs/>
          <w:szCs w:val="20"/>
        </w:rPr>
        <w:t xml:space="preserve"> a beneficiary of a Participant who died in 2017 could wait until 2023</w:t>
      </w:r>
      <w:r w:rsidR="00362A01">
        <w:rPr>
          <w:bCs/>
          <w:szCs w:val="20"/>
        </w:rPr>
        <w:t xml:space="preserve"> to withdraw the participant’s account.</w:t>
      </w:r>
      <w:r w:rsidR="003B6D5A">
        <w:rPr>
          <w:bCs/>
          <w:szCs w:val="20"/>
        </w:rPr>
        <w:t xml:space="preserve"> The default is that the deadline is extended by one year unless</w:t>
      </w:r>
      <w:r w:rsidR="003B4396">
        <w:rPr>
          <w:bCs/>
          <w:szCs w:val="20"/>
        </w:rPr>
        <w:t xml:space="preserve"> the beneficiary waives the extension. By electing 2.7(a), the default is that the deadline is not extend</w:t>
      </w:r>
      <w:r w:rsidR="009277A3">
        <w:rPr>
          <w:bCs/>
          <w:szCs w:val="20"/>
        </w:rPr>
        <w:t xml:space="preserve">ed unless the beneficiary requests the extension. Election 2.7(b) </w:t>
      </w:r>
      <w:r w:rsidR="007D5461">
        <w:rPr>
          <w:bCs/>
          <w:szCs w:val="20"/>
        </w:rPr>
        <w:t xml:space="preserve">says that Article 7 will not apply.  </w:t>
      </w:r>
      <w:r w:rsidR="0073230E">
        <w:rPr>
          <w:bCs/>
          <w:szCs w:val="20"/>
        </w:rPr>
        <w:t>The impact of election 2.7(b) will differ depending on</w:t>
      </w:r>
      <w:r w:rsidR="005C610B">
        <w:rPr>
          <w:bCs/>
          <w:szCs w:val="20"/>
        </w:rPr>
        <w:t xml:space="preserve"> the plan document. For example, the Relius preapproved 403(b) document incorporates the RMD rules by reference</w:t>
      </w:r>
      <w:r w:rsidR="00B24F0C">
        <w:rPr>
          <w:bCs/>
          <w:szCs w:val="20"/>
        </w:rPr>
        <w:t>, and since the extension is built into the statute, it is automatically built into the document. By contrast,</w:t>
      </w:r>
      <w:r w:rsidR="00A869AF">
        <w:rPr>
          <w:bCs/>
          <w:szCs w:val="20"/>
        </w:rPr>
        <w:t xml:space="preserve"> the Relius qualified plan documents generally spell out the RMD rules, and therefore the extension is not available</w:t>
      </w:r>
      <w:r w:rsidR="00EF54EC">
        <w:rPr>
          <w:bCs/>
          <w:szCs w:val="20"/>
        </w:rPr>
        <w:t xml:space="preserve"> at all if section 2.7(b) is elected.</w:t>
      </w:r>
    </w:p>
    <w:p w14:paraId="1CABC5BD" w14:textId="77777777" w:rsidR="00C85426" w:rsidRDefault="00C85426" w:rsidP="00026565">
      <w:pPr>
        <w:rPr>
          <w:bCs/>
          <w:szCs w:val="20"/>
        </w:rPr>
      </w:pPr>
    </w:p>
    <w:p w14:paraId="5DFDED74" w14:textId="0B58A1C8" w:rsidR="00C85426" w:rsidRPr="00FE2CDF" w:rsidRDefault="00C85426" w:rsidP="00026565">
      <w:pPr>
        <w:rPr>
          <w:b/>
          <w:szCs w:val="20"/>
        </w:rPr>
      </w:pPr>
      <w:r w:rsidRPr="00FE2CDF">
        <w:rPr>
          <w:b/>
          <w:szCs w:val="20"/>
        </w:rPr>
        <w:t>How does Article 9 impact QACA</w:t>
      </w:r>
      <w:r w:rsidR="00FE2CDF" w:rsidRPr="00FE2CDF">
        <w:rPr>
          <w:b/>
          <w:szCs w:val="20"/>
        </w:rPr>
        <w:t>s?</w:t>
      </w:r>
    </w:p>
    <w:p w14:paraId="6D063D01" w14:textId="77777777" w:rsidR="00022F5D" w:rsidRDefault="00022F5D" w:rsidP="00026565">
      <w:pPr>
        <w:rPr>
          <w:bCs/>
          <w:szCs w:val="20"/>
        </w:rPr>
      </w:pPr>
    </w:p>
    <w:p w14:paraId="614E92D9" w14:textId="4A75DD0A" w:rsidR="00FE2CDF" w:rsidRDefault="00BF2301" w:rsidP="00026565">
      <w:pPr>
        <w:rPr>
          <w:bCs/>
          <w:szCs w:val="20"/>
        </w:rPr>
      </w:pPr>
      <w:r>
        <w:rPr>
          <w:bCs/>
          <w:szCs w:val="20"/>
        </w:rPr>
        <w:t xml:space="preserve">Since their inception, </w:t>
      </w:r>
      <w:r w:rsidR="003C7989">
        <w:rPr>
          <w:bCs/>
          <w:szCs w:val="20"/>
        </w:rPr>
        <w:t>the law has provided the automatic deferral percentage in a QACA cannot exceed 10% of compensation. That is hardcoded into the plan document.</w:t>
      </w:r>
      <w:r w:rsidR="000048CC">
        <w:rPr>
          <w:bCs/>
          <w:szCs w:val="20"/>
        </w:rPr>
        <w:t xml:space="preserve"> SECURE allows the</w:t>
      </w:r>
      <w:r w:rsidR="00F91FA3">
        <w:rPr>
          <w:bCs/>
          <w:szCs w:val="20"/>
        </w:rPr>
        <w:t xml:space="preserve"> automatic deferral percentage to rise to 15% after the end of the first plan year that begins after automatic deferrals begin</w:t>
      </w:r>
      <w:r w:rsidR="000048CC">
        <w:rPr>
          <w:bCs/>
          <w:szCs w:val="20"/>
        </w:rPr>
        <w:t>. (</w:t>
      </w:r>
      <w:r w:rsidR="006764ED">
        <w:rPr>
          <w:bCs/>
          <w:szCs w:val="20"/>
        </w:rPr>
        <w:t>For example, suppose</w:t>
      </w:r>
      <w:r w:rsidR="00544FC6">
        <w:rPr>
          <w:bCs/>
          <w:szCs w:val="20"/>
        </w:rPr>
        <w:t xml:space="preserve"> Jane enters a calendar year QACA in</w:t>
      </w:r>
      <w:r w:rsidR="006764ED">
        <w:rPr>
          <w:bCs/>
          <w:szCs w:val="20"/>
        </w:rPr>
        <w:t xml:space="preserve"> 2022</w:t>
      </w:r>
      <w:r w:rsidR="00544FC6">
        <w:rPr>
          <w:bCs/>
          <w:szCs w:val="20"/>
        </w:rPr>
        <w:t>. For 2022 and 2023,</w:t>
      </w:r>
      <w:r w:rsidR="003050DF">
        <w:rPr>
          <w:bCs/>
          <w:szCs w:val="20"/>
        </w:rPr>
        <w:t xml:space="preserve"> </w:t>
      </w:r>
      <w:r w:rsidR="008475C8">
        <w:rPr>
          <w:bCs/>
          <w:szCs w:val="20"/>
        </w:rPr>
        <w:t xml:space="preserve">her </w:t>
      </w:r>
      <w:r w:rsidR="003050DF">
        <w:rPr>
          <w:bCs/>
          <w:szCs w:val="20"/>
        </w:rPr>
        <w:t xml:space="preserve">automatic deferral percentage cannot exceed 10%. In 2024 and subsequent years it can be </w:t>
      </w:r>
      <w:r w:rsidR="008475C8">
        <w:rPr>
          <w:bCs/>
          <w:szCs w:val="20"/>
        </w:rPr>
        <w:t xml:space="preserve">as high as </w:t>
      </w:r>
      <w:r w:rsidR="003050DF">
        <w:rPr>
          <w:bCs/>
          <w:szCs w:val="20"/>
        </w:rPr>
        <w:t>15%.</w:t>
      </w:r>
      <w:r w:rsidR="008475C8">
        <w:rPr>
          <w:bCs/>
          <w:szCs w:val="20"/>
        </w:rPr>
        <w:t>)</w:t>
      </w:r>
    </w:p>
    <w:p w14:paraId="70B4514E" w14:textId="77777777" w:rsidR="008475C8" w:rsidRDefault="008475C8" w:rsidP="00026565">
      <w:pPr>
        <w:rPr>
          <w:bCs/>
          <w:szCs w:val="20"/>
        </w:rPr>
      </w:pPr>
    </w:p>
    <w:p w14:paraId="26838C5F" w14:textId="3EC4BFF4" w:rsidR="008475C8" w:rsidRDefault="00444E8A" w:rsidP="00026565">
      <w:pPr>
        <w:rPr>
          <w:bCs/>
          <w:szCs w:val="20"/>
        </w:rPr>
      </w:pPr>
      <w:r>
        <w:rPr>
          <w:bCs/>
          <w:szCs w:val="20"/>
        </w:rPr>
        <w:t>By default, Article 9 does not apply, and therefore the automatic deferral percentage</w:t>
      </w:r>
      <w:r w:rsidR="00ED4F80">
        <w:rPr>
          <w:bCs/>
          <w:szCs w:val="20"/>
        </w:rPr>
        <w:t xml:space="preserve"> remains capped at 10%. Selecting 2.9(a)</w:t>
      </w:r>
      <w:r w:rsidR="006538AB">
        <w:rPr>
          <w:bCs/>
          <w:szCs w:val="20"/>
        </w:rPr>
        <w:t xml:space="preserve"> changes the maximum to the SECURE limit as described above.</w:t>
      </w:r>
      <w:r w:rsidR="00176401">
        <w:rPr>
          <w:bCs/>
          <w:szCs w:val="20"/>
        </w:rPr>
        <w:t xml:space="preserve"> </w:t>
      </w:r>
      <w:r w:rsidR="00C477DF">
        <w:rPr>
          <w:bCs/>
          <w:szCs w:val="20"/>
        </w:rPr>
        <w:t>I</w:t>
      </w:r>
      <w:r w:rsidR="00036AAF">
        <w:rPr>
          <w:bCs/>
          <w:szCs w:val="20"/>
        </w:rPr>
        <w:t xml:space="preserve">f the QACA schedule </w:t>
      </w:r>
      <w:r w:rsidR="007704CB">
        <w:rPr>
          <w:bCs/>
          <w:szCs w:val="20"/>
        </w:rPr>
        <w:t xml:space="preserve">in the Adoption Agreement </w:t>
      </w:r>
      <w:r w:rsidR="00036AAF">
        <w:rPr>
          <w:bCs/>
          <w:szCs w:val="20"/>
        </w:rPr>
        <w:t>says that automatic deferrals</w:t>
      </w:r>
      <w:r w:rsidR="00307DEC">
        <w:rPr>
          <w:bCs/>
          <w:szCs w:val="20"/>
        </w:rPr>
        <w:t xml:space="preserve"> and increase 1% per year, then adopting </w:t>
      </w:r>
      <w:r w:rsidR="00787B66">
        <w:rPr>
          <w:bCs/>
          <w:szCs w:val="20"/>
        </w:rPr>
        <w:t>A</w:t>
      </w:r>
      <w:r w:rsidR="00307DEC">
        <w:rPr>
          <w:bCs/>
          <w:szCs w:val="20"/>
        </w:rPr>
        <w:t>rticle 9 will allow the increase to continue to 15% without</w:t>
      </w:r>
      <w:r w:rsidR="00787B66">
        <w:rPr>
          <w:bCs/>
          <w:szCs w:val="20"/>
        </w:rPr>
        <w:t xml:space="preserve"> the need for any further amendment of the QACA schedule.</w:t>
      </w:r>
      <w:r w:rsidR="007704CB">
        <w:rPr>
          <w:bCs/>
          <w:szCs w:val="20"/>
        </w:rPr>
        <w:t xml:space="preserve">  Alternatively, you can enter the revised </w:t>
      </w:r>
      <w:r w:rsidR="00C056A4">
        <w:rPr>
          <w:bCs/>
          <w:szCs w:val="20"/>
        </w:rPr>
        <w:t xml:space="preserve">schedule of default deferrals </w:t>
      </w:r>
      <w:r w:rsidR="007704CB">
        <w:rPr>
          <w:bCs/>
          <w:szCs w:val="20"/>
        </w:rPr>
        <w:t>at 2.</w:t>
      </w:r>
      <w:r w:rsidR="00C056A4">
        <w:rPr>
          <w:bCs/>
          <w:szCs w:val="20"/>
        </w:rPr>
        <w:t>9(b).</w:t>
      </w:r>
    </w:p>
    <w:p w14:paraId="6F2E16C5" w14:textId="77777777" w:rsidR="000048CC" w:rsidRPr="000021FC" w:rsidRDefault="000048CC" w:rsidP="00026565">
      <w:pPr>
        <w:rPr>
          <w:bCs/>
          <w:szCs w:val="20"/>
        </w:rPr>
      </w:pPr>
    </w:p>
    <w:p w14:paraId="6987CF52" w14:textId="346BC387" w:rsidR="00026565" w:rsidRPr="00026565" w:rsidRDefault="00026565" w:rsidP="000E7800">
      <w:pPr>
        <w:keepNext/>
        <w:keepLines/>
        <w:rPr>
          <w:b/>
          <w:szCs w:val="20"/>
        </w:rPr>
      </w:pPr>
      <w:r w:rsidRPr="00026565">
        <w:rPr>
          <w:b/>
          <w:szCs w:val="20"/>
        </w:rPr>
        <w:lastRenderedPageBreak/>
        <w:t>Can I use this amendment for</w:t>
      </w:r>
      <w:r w:rsidR="00F61780">
        <w:rPr>
          <w:b/>
          <w:szCs w:val="20"/>
        </w:rPr>
        <w:t xml:space="preserve"> ongoing and </w:t>
      </w:r>
      <w:r w:rsidR="004231CC">
        <w:rPr>
          <w:b/>
          <w:szCs w:val="20"/>
        </w:rPr>
        <w:t>for</w:t>
      </w:r>
      <w:r w:rsidRPr="00026565">
        <w:rPr>
          <w:b/>
          <w:szCs w:val="20"/>
        </w:rPr>
        <w:t xml:space="preserve"> </w:t>
      </w:r>
      <w:r w:rsidR="006B5EF8">
        <w:rPr>
          <w:b/>
          <w:szCs w:val="20"/>
        </w:rPr>
        <w:t>terminating</w:t>
      </w:r>
      <w:r w:rsidRPr="00026565">
        <w:rPr>
          <w:b/>
          <w:szCs w:val="20"/>
        </w:rPr>
        <w:t xml:space="preserve"> plans?</w:t>
      </w:r>
    </w:p>
    <w:p w14:paraId="1A296132" w14:textId="77777777" w:rsidR="00026565" w:rsidRPr="00026565" w:rsidRDefault="00026565" w:rsidP="000E7800">
      <w:pPr>
        <w:keepNext/>
        <w:keepLines/>
        <w:rPr>
          <w:bCs/>
          <w:szCs w:val="20"/>
        </w:rPr>
      </w:pPr>
    </w:p>
    <w:p w14:paraId="40827DED" w14:textId="5022B24B" w:rsidR="00026565" w:rsidRPr="00026565" w:rsidRDefault="006B5EF8" w:rsidP="000E7800">
      <w:pPr>
        <w:keepNext/>
        <w:keepLines/>
        <w:rPr>
          <w:bCs/>
          <w:szCs w:val="20"/>
        </w:rPr>
      </w:pPr>
      <w:r>
        <w:rPr>
          <w:bCs/>
          <w:szCs w:val="20"/>
        </w:rPr>
        <w:t>Yes. It replaces the amendments we have previously released for terminating plans.</w:t>
      </w:r>
    </w:p>
    <w:p w14:paraId="6925C0DE" w14:textId="77777777" w:rsidR="00026565" w:rsidRPr="00026565" w:rsidRDefault="00026565" w:rsidP="00026565">
      <w:pPr>
        <w:rPr>
          <w:bCs/>
          <w:szCs w:val="20"/>
        </w:rPr>
      </w:pPr>
    </w:p>
    <w:p w14:paraId="6864E155" w14:textId="1F9489FF" w:rsidR="00026565" w:rsidRPr="00026565" w:rsidRDefault="00026565" w:rsidP="001C789A">
      <w:pPr>
        <w:keepNext/>
        <w:keepLines/>
        <w:widowControl/>
        <w:rPr>
          <w:b/>
          <w:szCs w:val="20"/>
        </w:rPr>
      </w:pPr>
      <w:r w:rsidRPr="00026565">
        <w:rPr>
          <w:b/>
          <w:szCs w:val="20"/>
        </w:rPr>
        <w:t xml:space="preserve">Can a document </w:t>
      </w:r>
      <w:r w:rsidR="003D3BD6">
        <w:rPr>
          <w:b/>
          <w:szCs w:val="20"/>
        </w:rPr>
        <w:t>Provider</w:t>
      </w:r>
      <w:r w:rsidRPr="00026565">
        <w:rPr>
          <w:b/>
          <w:szCs w:val="20"/>
        </w:rPr>
        <w:t xml:space="preserve"> sign this amendment on behalf of the employer?</w:t>
      </w:r>
    </w:p>
    <w:p w14:paraId="01256E2C" w14:textId="77777777" w:rsidR="00026565" w:rsidRPr="00026565" w:rsidRDefault="00026565" w:rsidP="001C789A">
      <w:pPr>
        <w:keepNext/>
        <w:keepLines/>
        <w:widowControl/>
        <w:rPr>
          <w:bCs/>
          <w:szCs w:val="20"/>
        </w:rPr>
      </w:pPr>
    </w:p>
    <w:p w14:paraId="14003DDE" w14:textId="2DC7406A" w:rsidR="00026565" w:rsidRPr="00026565" w:rsidRDefault="00026565" w:rsidP="001C789A">
      <w:pPr>
        <w:keepNext/>
        <w:keepLines/>
        <w:widowControl/>
        <w:rPr>
          <w:bCs/>
          <w:szCs w:val="20"/>
        </w:rPr>
      </w:pPr>
      <w:r w:rsidRPr="00026565">
        <w:rPr>
          <w:bCs/>
          <w:szCs w:val="20"/>
        </w:rPr>
        <w:t xml:space="preserve">No. </w:t>
      </w:r>
      <w:r w:rsidR="003D3BD6">
        <w:rPr>
          <w:bCs/>
          <w:szCs w:val="20"/>
        </w:rPr>
        <w:t>However, we provide a separate</w:t>
      </w:r>
      <w:r w:rsidRPr="00026565">
        <w:rPr>
          <w:bCs/>
          <w:szCs w:val="20"/>
        </w:rPr>
        <w:t xml:space="preserve"> d</w:t>
      </w:r>
      <w:r w:rsidR="003D3BD6">
        <w:rPr>
          <w:bCs/>
          <w:szCs w:val="20"/>
        </w:rPr>
        <w:t>ocument Provider</w:t>
      </w:r>
      <w:r w:rsidRPr="00026565">
        <w:rPr>
          <w:bCs/>
          <w:szCs w:val="20"/>
        </w:rPr>
        <w:t xml:space="preserve"> version of this amendment. </w:t>
      </w:r>
    </w:p>
    <w:p w14:paraId="685223BF" w14:textId="77777777" w:rsidR="00026565" w:rsidRPr="00026565" w:rsidRDefault="00026565" w:rsidP="00026565">
      <w:pPr>
        <w:rPr>
          <w:bCs/>
          <w:szCs w:val="20"/>
        </w:rPr>
      </w:pPr>
    </w:p>
    <w:p w14:paraId="32324146" w14:textId="28060475" w:rsidR="00026565" w:rsidRPr="00026565" w:rsidRDefault="009C2222" w:rsidP="00B11604">
      <w:pPr>
        <w:keepNext/>
        <w:keepLines/>
        <w:rPr>
          <w:b/>
          <w:szCs w:val="20"/>
        </w:rPr>
      </w:pPr>
      <w:r>
        <w:rPr>
          <w:b/>
          <w:szCs w:val="20"/>
        </w:rPr>
        <w:t>What other SECURE amendments d</w:t>
      </w:r>
      <w:r w:rsidR="006157C1">
        <w:rPr>
          <w:b/>
          <w:szCs w:val="20"/>
        </w:rPr>
        <w:t>oes FIS provide</w:t>
      </w:r>
      <w:r w:rsidR="00026565" w:rsidRPr="00026565">
        <w:rPr>
          <w:b/>
          <w:szCs w:val="20"/>
        </w:rPr>
        <w:t>?</w:t>
      </w:r>
    </w:p>
    <w:p w14:paraId="4CFEE55C" w14:textId="77777777" w:rsidR="00026565" w:rsidRPr="00026565" w:rsidRDefault="00026565" w:rsidP="00B11604">
      <w:pPr>
        <w:keepNext/>
        <w:keepLines/>
        <w:rPr>
          <w:bCs/>
          <w:szCs w:val="20"/>
        </w:rPr>
      </w:pPr>
    </w:p>
    <w:p w14:paraId="164DB1EA" w14:textId="2538EA3C" w:rsidR="001146E2" w:rsidRDefault="006157C1" w:rsidP="00026565">
      <w:pPr>
        <w:rPr>
          <w:bCs/>
          <w:szCs w:val="20"/>
        </w:rPr>
      </w:pPr>
      <w:r>
        <w:rPr>
          <w:bCs/>
          <w:szCs w:val="20"/>
        </w:rPr>
        <w:t>We have a separate amendment for pooled employer plans</w:t>
      </w:r>
      <w:r w:rsidR="001146E2">
        <w:rPr>
          <w:bCs/>
          <w:szCs w:val="20"/>
        </w:rPr>
        <w:t xml:space="preserve"> (PEPs)</w:t>
      </w:r>
      <w:r>
        <w:rPr>
          <w:bCs/>
          <w:szCs w:val="20"/>
        </w:rPr>
        <w:t>. T</w:t>
      </w:r>
      <w:r w:rsidR="00FB6FC4">
        <w:rPr>
          <w:bCs/>
          <w:szCs w:val="20"/>
        </w:rPr>
        <w:t xml:space="preserve">his amendment does not include provisions related to (PEPs) or modifications of the “bad apple rule” for multiple employer plans. </w:t>
      </w:r>
    </w:p>
    <w:p w14:paraId="7EF40296" w14:textId="77777777" w:rsidR="001146E2" w:rsidRDefault="001146E2" w:rsidP="00026565">
      <w:pPr>
        <w:rPr>
          <w:bCs/>
          <w:szCs w:val="20"/>
        </w:rPr>
      </w:pPr>
    </w:p>
    <w:p w14:paraId="510AB034" w14:textId="3B8A9CA6" w:rsidR="00FB6FC4" w:rsidRDefault="00FD5B29" w:rsidP="00F73E33">
      <w:pPr>
        <w:rPr>
          <w:bCs/>
          <w:szCs w:val="20"/>
        </w:rPr>
      </w:pPr>
      <w:r>
        <w:rPr>
          <w:bCs/>
          <w:szCs w:val="20"/>
        </w:rPr>
        <w:t xml:space="preserve">We have a separate retroactive amendment to convert </w:t>
      </w:r>
      <w:r w:rsidR="00A35BD4">
        <w:rPr>
          <w:bCs/>
          <w:szCs w:val="20"/>
        </w:rPr>
        <w:t>an</w:t>
      </w:r>
      <w:r w:rsidR="00AF43ED">
        <w:rPr>
          <w:bCs/>
          <w:szCs w:val="20"/>
        </w:rPr>
        <w:t xml:space="preserve"> ADP-tested </w:t>
      </w:r>
      <w:r w:rsidR="00A35BD4">
        <w:rPr>
          <w:bCs/>
          <w:szCs w:val="20"/>
        </w:rPr>
        <w:t xml:space="preserve">401(k) plan to a safe harbor nonelective 401(k) plan. Article 3 authorizes </w:t>
      </w:r>
      <w:r w:rsidR="00512C3A">
        <w:rPr>
          <w:bCs/>
          <w:szCs w:val="20"/>
        </w:rPr>
        <w:t xml:space="preserve">(but does not implement) </w:t>
      </w:r>
      <w:r w:rsidR="00A35BD4">
        <w:rPr>
          <w:bCs/>
          <w:szCs w:val="20"/>
        </w:rPr>
        <w:t>such an amendment.</w:t>
      </w:r>
    </w:p>
    <w:p w14:paraId="34EF7B75" w14:textId="77777777" w:rsidR="00F73E33" w:rsidRDefault="00F73E33" w:rsidP="00F73E33">
      <w:pPr>
        <w:rPr>
          <w:bCs/>
          <w:szCs w:val="20"/>
        </w:rPr>
      </w:pPr>
    </w:p>
    <w:p w14:paraId="1BB40110" w14:textId="03DBC028" w:rsidR="00F73E33" w:rsidRPr="00026565" w:rsidRDefault="00F73E33" w:rsidP="00F73E33">
      <w:pPr>
        <w:rPr>
          <w:bCs/>
          <w:szCs w:val="20"/>
        </w:rPr>
      </w:pPr>
      <w:r>
        <w:rPr>
          <w:bCs/>
          <w:szCs w:val="20"/>
        </w:rPr>
        <w:t>We will provide a separate amendment</w:t>
      </w:r>
      <w:r w:rsidR="004F37F4">
        <w:rPr>
          <w:bCs/>
          <w:szCs w:val="20"/>
        </w:rPr>
        <w:t xml:space="preserve"> for retirement income account 403(b) plans to expand participation to certain affiliated employers.</w:t>
      </w:r>
    </w:p>
    <w:p w14:paraId="6417F7CE" w14:textId="77777777" w:rsidR="00026565" w:rsidRPr="00026565" w:rsidRDefault="00026565" w:rsidP="00026565">
      <w:pPr>
        <w:rPr>
          <w:bCs/>
          <w:szCs w:val="20"/>
        </w:rPr>
      </w:pPr>
    </w:p>
    <w:p w14:paraId="068A909A" w14:textId="77777777" w:rsidR="00026565" w:rsidRPr="00026565" w:rsidRDefault="00026565" w:rsidP="00026565">
      <w:pPr>
        <w:rPr>
          <w:b/>
          <w:szCs w:val="20"/>
        </w:rPr>
      </w:pPr>
      <w:r w:rsidRPr="00026565">
        <w:rPr>
          <w:b/>
          <w:szCs w:val="20"/>
        </w:rPr>
        <w:t>When should this amendment be adopted?</w:t>
      </w:r>
    </w:p>
    <w:p w14:paraId="0CDA139A" w14:textId="77777777" w:rsidR="00026565" w:rsidRPr="00026565" w:rsidRDefault="00026565" w:rsidP="00026565">
      <w:pPr>
        <w:rPr>
          <w:bCs/>
          <w:szCs w:val="20"/>
        </w:rPr>
      </w:pPr>
    </w:p>
    <w:p w14:paraId="0DE89440" w14:textId="47540370" w:rsidR="00026565" w:rsidRDefault="008A17F4" w:rsidP="00026565">
      <w:pPr>
        <w:rPr>
          <w:bCs/>
          <w:szCs w:val="20"/>
        </w:rPr>
      </w:pPr>
      <w:r>
        <w:rPr>
          <w:bCs/>
          <w:szCs w:val="20"/>
        </w:rPr>
        <w:t>In general, the deadline to adopt this amendment is December 31, 2022. Governmental plans have until December 31, 2024.</w:t>
      </w:r>
      <w:r w:rsidR="002A330B">
        <w:rPr>
          <w:bCs/>
          <w:szCs w:val="20"/>
        </w:rPr>
        <w:t xml:space="preserve"> Most collectively bargained plans </w:t>
      </w:r>
      <w:r w:rsidR="009F631B">
        <w:rPr>
          <w:bCs/>
          <w:szCs w:val="20"/>
        </w:rPr>
        <w:t>also have until December 31, 2024.</w:t>
      </w:r>
    </w:p>
    <w:p w14:paraId="1CE73086" w14:textId="77777777" w:rsidR="00D315FE" w:rsidRPr="00026565" w:rsidRDefault="00D315FE" w:rsidP="00026565">
      <w:pPr>
        <w:rPr>
          <w:bCs/>
          <w:szCs w:val="20"/>
        </w:rPr>
      </w:pPr>
    </w:p>
    <w:p w14:paraId="42EEFA30" w14:textId="31C0185F" w:rsidR="00026565" w:rsidRPr="00026565" w:rsidRDefault="00026565" w:rsidP="00026565">
      <w:pPr>
        <w:rPr>
          <w:b/>
          <w:szCs w:val="20"/>
        </w:rPr>
      </w:pPr>
      <w:r w:rsidRPr="00026565">
        <w:rPr>
          <w:b/>
          <w:szCs w:val="20"/>
        </w:rPr>
        <w:t>Can I modify this amendment?</w:t>
      </w:r>
    </w:p>
    <w:p w14:paraId="6500D7A8" w14:textId="77777777" w:rsidR="00026565" w:rsidRPr="00026565" w:rsidRDefault="00026565" w:rsidP="00026565">
      <w:pPr>
        <w:rPr>
          <w:bCs/>
          <w:szCs w:val="20"/>
        </w:rPr>
      </w:pPr>
    </w:p>
    <w:p w14:paraId="0FF06505" w14:textId="60C74768" w:rsidR="00035519" w:rsidRPr="00035519" w:rsidRDefault="00026565" w:rsidP="00B44775">
      <w:pPr>
        <w:rPr>
          <w:rFonts w:ascii="Times" w:hAnsi="Times"/>
          <w:szCs w:val="20"/>
        </w:rPr>
      </w:pPr>
      <w:r w:rsidRPr="00026565">
        <w:rPr>
          <w:bCs/>
          <w:szCs w:val="20"/>
        </w:rPr>
        <w:t xml:space="preserve">Yes. This is a good faith amendment, and the IRS has not reviewed or approved it. </w:t>
      </w:r>
      <w:r w:rsidR="00E35765">
        <w:rPr>
          <w:bCs/>
          <w:szCs w:val="20"/>
        </w:rPr>
        <w:t>We anticipate that Elections available in this amendment will appear in our</w:t>
      </w:r>
      <w:r w:rsidR="00CA71DD">
        <w:rPr>
          <w:bCs/>
          <w:szCs w:val="20"/>
        </w:rPr>
        <w:t xml:space="preserve"> documents for upcoming restatement cycles</w:t>
      </w:r>
      <w:r w:rsidR="00F50B74">
        <w:rPr>
          <w:bCs/>
          <w:szCs w:val="20"/>
        </w:rPr>
        <w:t>,</w:t>
      </w:r>
      <w:r w:rsidR="00B11974">
        <w:rPr>
          <w:bCs/>
          <w:szCs w:val="20"/>
        </w:rPr>
        <w:t xml:space="preserve"> but employer modifications to this amendment may not be supported</w:t>
      </w:r>
      <w:r w:rsidR="00AE25E7">
        <w:rPr>
          <w:bCs/>
          <w:szCs w:val="20"/>
        </w:rPr>
        <w:t xml:space="preserve"> in restatements.</w:t>
      </w:r>
    </w:p>
    <w:p w14:paraId="14601E4D" w14:textId="6FDF9425" w:rsidR="00900A95" w:rsidRDefault="00900A95" w:rsidP="00A36C7A">
      <w:pPr>
        <w:rPr>
          <w:bCs/>
          <w:iCs/>
          <w:szCs w:val="20"/>
        </w:rPr>
      </w:pPr>
    </w:p>
    <w:p w14:paraId="6F434DD8" w14:textId="67801A9B" w:rsidR="00947EB3" w:rsidRPr="00947EB3" w:rsidRDefault="00947EB3" w:rsidP="00A36C7A">
      <w:pPr>
        <w:rPr>
          <w:b/>
          <w:iCs/>
          <w:szCs w:val="20"/>
        </w:rPr>
      </w:pPr>
      <w:r w:rsidRPr="00947EB3">
        <w:rPr>
          <w:b/>
          <w:iCs/>
          <w:szCs w:val="20"/>
        </w:rPr>
        <w:t>Will FIS update this amendment?</w:t>
      </w:r>
    </w:p>
    <w:p w14:paraId="3889AAF0" w14:textId="146F91FB" w:rsidR="00947EB3" w:rsidRDefault="00947EB3" w:rsidP="00A36C7A">
      <w:pPr>
        <w:rPr>
          <w:bCs/>
          <w:iCs/>
          <w:szCs w:val="20"/>
        </w:rPr>
      </w:pPr>
    </w:p>
    <w:p w14:paraId="17400707" w14:textId="4FEEB3DC" w:rsidR="00947EB3" w:rsidRDefault="00947EB3" w:rsidP="00A36C7A">
      <w:pPr>
        <w:rPr>
          <w:bCs/>
          <w:iCs/>
          <w:szCs w:val="20"/>
        </w:rPr>
      </w:pPr>
      <w:r>
        <w:rPr>
          <w:bCs/>
          <w:iCs/>
          <w:szCs w:val="20"/>
        </w:rPr>
        <w:t xml:space="preserve">We anticipate updating the amendment </w:t>
      </w:r>
      <w:r w:rsidR="00AE25E7">
        <w:rPr>
          <w:bCs/>
          <w:iCs/>
          <w:szCs w:val="20"/>
        </w:rPr>
        <w:t xml:space="preserve">as needed </w:t>
      </w:r>
      <w:r>
        <w:rPr>
          <w:bCs/>
          <w:iCs/>
          <w:szCs w:val="20"/>
        </w:rPr>
        <w:t>based on IRS guidance.  Please check online to find the most current version of the amendment.</w:t>
      </w:r>
    </w:p>
    <w:p w14:paraId="410B9816" w14:textId="77777777" w:rsidR="00947EB3" w:rsidRDefault="00947EB3" w:rsidP="00A36C7A">
      <w:pPr>
        <w:rPr>
          <w:bCs/>
          <w:iCs/>
          <w:szCs w:val="20"/>
        </w:rPr>
      </w:pPr>
    </w:p>
    <w:p w14:paraId="46772D44" w14:textId="77777777" w:rsidR="002B5E55" w:rsidRPr="002B5E55" w:rsidRDefault="002B5E55" w:rsidP="00A36C7A">
      <w:pPr>
        <w:rPr>
          <w:b/>
          <w:iCs/>
          <w:szCs w:val="20"/>
        </w:rPr>
      </w:pPr>
      <w:r w:rsidRPr="002B5E55">
        <w:rPr>
          <w:b/>
          <w:iCs/>
          <w:szCs w:val="20"/>
        </w:rPr>
        <w:t>Are other documents available?</w:t>
      </w:r>
    </w:p>
    <w:p w14:paraId="65105381" w14:textId="77777777" w:rsidR="002B5E55" w:rsidRPr="001F1723" w:rsidRDefault="002B5E55" w:rsidP="00A36C7A">
      <w:pPr>
        <w:rPr>
          <w:bCs/>
          <w:iCs/>
          <w:szCs w:val="20"/>
        </w:rPr>
      </w:pPr>
    </w:p>
    <w:p w14:paraId="029C9F5F" w14:textId="77777777" w:rsidR="00366CAE" w:rsidRDefault="00B44775" w:rsidP="008D2A7F">
      <w:pPr>
        <w:rPr>
          <w:rFonts w:ascii="Times" w:hAnsi="Times"/>
          <w:szCs w:val="20"/>
        </w:rPr>
      </w:pPr>
      <w:r w:rsidRPr="001F1723">
        <w:rPr>
          <w:rFonts w:ascii="Times" w:hAnsi="Times"/>
          <w:szCs w:val="20"/>
        </w:rPr>
        <w:t xml:space="preserve">In addition to the Amendment, we have provided a sample Adopting Resolution (for an employer to </w:t>
      </w:r>
      <w:r w:rsidR="00F560D2">
        <w:rPr>
          <w:rFonts w:ascii="Times" w:hAnsi="Times"/>
          <w:szCs w:val="20"/>
        </w:rPr>
        <w:t xml:space="preserve">evidence </w:t>
      </w:r>
      <w:r w:rsidRPr="001F1723">
        <w:rPr>
          <w:rFonts w:ascii="Times" w:hAnsi="Times"/>
          <w:szCs w:val="20"/>
        </w:rPr>
        <w:t>adopt</w:t>
      </w:r>
      <w:r w:rsidR="00F560D2">
        <w:rPr>
          <w:rFonts w:ascii="Times" w:hAnsi="Times"/>
          <w:szCs w:val="20"/>
        </w:rPr>
        <w:t>ion of</w:t>
      </w:r>
      <w:r w:rsidRPr="001F1723">
        <w:rPr>
          <w:rFonts w:ascii="Times" w:hAnsi="Times"/>
          <w:szCs w:val="20"/>
        </w:rPr>
        <w:t xml:space="preserve"> the Amendment)</w:t>
      </w:r>
      <w:r w:rsidR="00174081">
        <w:rPr>
          <w:rFonts w:ascii="Times" w:hAnsi="Times"/>
          <w:szCs w:val="20"/>
        </w:rPr>
        <w:t xml:space="preserve">. </w:t>
      </w:r>
      <w:r w:rsidR="00F560D2">
        <w:rPr>
          <w:rFonts w:ascii="Times" w:hAnsi="Times"/>
          <w:szCs w:val="20"/>
        </w:rPr>
        <w:t xml:space="preserve">We have not provided a unanimous written consent or other form to actually adopt the amendment, because this will vary depending on local </w:t>
      </w:r>
      <w:r w:rsidR="00C44355">
        <w:rPr>
          <w:rFonts w:ascii="Times" w:hAnsi="Times"/>
          <w:szCs w:val="20"/>
        </w:rPr>
        <w:t xml:space="preserve">law </w:t>
      </w:r>
      <w:r w:rsidR="00F560D2">
        <w:rPr>
          <w:rFonts w:ascii="Times" w:hAnsi="Times"/>
          <w:szCs w:val="20"/>
        </w:rPr>
        <w:t>and on the structure of the employer.</w:t>
      </w:r>
      <w:r w:rsidR="00921E1C">
        <w:rPr>
          <w:rFonts w:ascii="Times" w:hAnsi="Times"/>
          <w:szCs w:val="20"/>
        </w:rPr>
        <w:t xml:space="preserve"> </w:t>
      </w:r>
    </w:p>
    <w:p w14:paraId="4546E943" w14:textId="77777777" w:rsidR="00366CAE" w:rsidRDefault="00366CAE" w:rsidP="008D2A7F">
      <w:pPr>
        <w:rPr>
          <w:rFonts w:ascii="Times" w:hAnsi="Times"/>
          <w:szCs w:val="20"/>
        </w:rPr>
      </w:pPr>
    </w:p>
    <w:p w14:paraId="6F2E7736" w14:textId="36B8E611" w:rsidR="001B6BA2" w:rsidRPr="001F1723" w:rsidRDefault="00921E1C" w:rsidP="008D2A7F">
      <w:pPr>
        <w:rPr>
          <w:bCs/>
          <w:iCs/>
          <w:szCs w:val="20"/>
        </w:rPr>
      </w:pPr>
      <w:r>
        <w:rPr>
          <w:rFonts w:ascii="Times" w:hAnsi="Times"/>
          <w:szCs w:val="20"/>
        </w:rPr>
        <w:t>We have also provided a Summary of Material Modifications that can be modified based on the selections in the amendment.  The footnotes</w:t>
      </w:r>
      <w:r w:rsidR="008E2807">
        <w:rPr>
          <w:rFonts w:ascii="Times" w:hAnsi="Times"/>
          <w:szCs w:val="20"/>
        </w:rPr>
        <w:t>, brackets, and italics</w:t>
      </w:r>
      <w:r>
        <w:rPr>
          <w:rFonts w:ascii="Times" w:hAnsi="Times"/>
          <w:szCs w:val="20"/>
        </w:rPr>
        <w:t xml:space="preserve"> in the model SMM </w:t>
      </w:r>
      <w:r w:rsidR="009201FF">
        <w:rPr>
          <w:rFonts w:ascii="Times" w:hAnsi="Times"/>
          <w:szCs w:val="20"/>
        </w:rPr>
        <w:t xml:space="preserve">are to guide the </w:t>
      </w:r>
      <w:r w:rsidR="00237EDA">
        <w:rPr>
          <w:rFonts w:ascii="Times" w:hAnsi="Times"/>
          <w:szCs w:val="20"/>
        </w:rPr>
        <w:t xml:space="preserve">user in adapting the </w:t>
      </w:r>
      <w:r w:rsidR="007F52FF">
        <w:rPr>
          <w:rFonts w:ascii="Times" w:hAnsi="Times"/>
          <w:szCs w:val="20"/>
        </w:rPr>
        <w:t>SMM</w:t>
      </w:r>
      <w:r w:rsidR="00237EDA">
        <w:rPr>
          <w:rFonts w:ascii="Times" w:hAnsi="Times"/>
          <w:szCs w:val="20"/>
        </w:rPr>
        <w:t xml:space="preserve"> to the </w:t>
      </w:r>
      <w:r w:rsidR="007F52FF">
        <w:rPr>
          <w:rFonts w:ascii="Times" w:hAnsi="Times"/>
          <w:szCs w:val="20"/>
        </w:rPr>
        <w:t>selections made in the amendment</w:t>
      </w:r>
      <w:r w:rsidR="00666250">
        <w:rPr>
          <w:rFonts w:ascii="Times" w:hAnsi="Times"/>
          <w:szCs w:val="20"/>
        </w:rPr>
        <w:t xml:space="preserve"> and should be deleted before providing the SMM to participants.</w:t>
      </w:r>
      <w:r w:rsidR="00366CAE">
        <w:rPr>
          <w:rFonts w:ascii="Times" w:hAnsi="Times"/>
          <w:szCs w:val="20"/>
        </w:rPr>
        <w:t xml:space="preserve">  </w:t>
      </w:r>
    </w:p>
    <w:p w14:paraId="64A042C8" w14:textId="77777777" w:rsidR="001B6BA2" w:rsidRPr="00CB47EF" w:rsidRDefault="001B6BA2">
      <w:pPr>
        <w:jc w:val="both"/>
        <w:rPr>
          <w:i/>
          <w:szCs w:val="20"/>
        </w:rPr>
      </w:pPr>
    </w:p>
    <w:sectPr w:rsidR="001B6BA2" w:rsidRPr="00CB47EF" w:rsidSect="00DF5BD1">
      <w:headerReference w:type="default" r:id="rId8"/>
      <w:footerReference w:type="default" r:id="rId9"/>
      <w:pgSz w:w="12240" w:h="15840" w:code="1"/>
      <w:pgMar w:top="720" w:right="1080" w:bottom="432" w:left="108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8406F" w14:textId="77777777" w:rsidR="00D56594" w:rsidRDefault="00D56594">
      <w:r>
        <w:separator/>
      </w:r>
    </w:p>
  </w:endnote>
  <w:endnote w:type="continuationSeparator" w:id="0">
    <w:p w14:paraId="548568DF" w14:textId="77777777" w:rsidR="00D56594" w:rsidRDefault="00D56594">
      <w:r>
        <w:continuationSeparator/>
      </w:r>
    </w:p>
  </w:endnote>
  <w:endnote w:type="continuationNotice" w:id="1">
    <w:p w14:paraId="4E9A5656" w14:textId="77777777" w:rsidR="00D56594" w:rsidRDefault="00D56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A9E5" w14:textId="7C864295" w:rsidR="00DF5BD1" w:rsidRDefault="001A243F" w:rsidP="00CA71DD">
    <w:pPr>
      <w:pStyle w:val="Footer"/>
    </w:pPr>
    <w:r w:rsidRPr="00B44470">
      <w:rPr>
        <w:rFonts w:ascii="Times" w:hAnsi="Times" w:cs="Times"/>
        <w:szCs w:val="20"/>
      </w:rPr>
      <w:t>© 20</w:t>
    </w:r>
    <w:r>
      <w:rPr>
        <w:rFonts w:ascii="Times" w:hAnsi="Times" w:cs="Times"/>
        <w:szCs w:val="20"/>
      </w:rPr>
      <w:t>2</w:t>
    </w:r>
    <w:r w:rsidR="00921E1C">
      <w:rPr>
        <w:rFonts w:ascii="Times" w:hAnsi="Times" w:cs="Times"/>
        <w:szCs w:val="20"/>
      </w:rPr>
      <w:t>2</w:t>
    </w:r>
    <w:r>
      <w:rPr>
        <w:rFonts w:ascii="Times" w:hAnsi="Times" w:cs="Times"/>
        <w:szCs w:val="20"/>
      </w:rPr>
      <w:t xml:space="preserve"> FIS Business Systems LLC or its suppliers </w:t>
    </w:r>
    <w:r>
      <w:rPr>
        <w:rFonts w:ascii="Times" w:hAnsi="Times" w:cs="Times"/>
        <w:szCs w:val="20"/>
      </w:rPr>
      <w:tab/>
    </w:r>
    <w:r>
      <w:rPr>
        <w:rFonts w:ascii="Times" w:hAnsi="Times" w:cs="Times"/>
        <w:szCs w:val="20"/>
      </w:rPr>
      <w:tab/>
      <w:t xml:space="preserve"> Rev. </w:t>
    </w:r>
    <w:r w:rsidR="00717B1D">
      <w:rPr>
        <w:rFonts w:ascii="Times" w:hAnsi="Times" w:cs="Times"/>
        <w:szCs w:val="20"/>
      </w:rPr>
      <w:t>May</w:t>
    </w:r>
    <w:r w:rsidR="004B13E6">
      <w:rPr>
        <w:rFonts w:ascii="Times" w:hAnsi="Times" w:cs="Times"/>
        <w:szCs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23A0" w14:textId="77777777" w:rsidR="00D56594" w:rsidRDefault="00D56594">
      <w:r>
        <w:separator/>
      </w:r>
    </w:p>
  </w:footnote>
  <w:footnote w:type="continuationSeparator" w:id="0">
    <w:p w14:paraId="0594DC65" w14:textId="77777777" w:rsidR="00D56594" w:rsidRDefault="00D56594">
      <w:r>
        <w:continuationSeparator/>
      </w:r>
    </w:p>
  </w:footnote>
  <w:footnote w:type="continuationNotice" w:id="1">
    <w:p w14:paraId="00975070" w14:textId="77777777" w:rsidR="00D56594" w:rsidRDefault="00D565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6D47" w14:textId="0B6561FE" w:rsidR="00DF5BD1" w:rsidRDefault="00026565" w:rsidP="00DF5BD1">
    <w:pPr>
      <w:pStyle w:val="Header"/>
      <w:jc w:val="right"/>
      <w:rPr>
        <w:b/>
        <w:sz w:val="18"/>
        <w:szCs w:val="18"/>
      </w:rPr>
    </w:pPr>
    <w:r>
      <w:rPr>
        <w:b/>
        <w:sz w:val="18"/>
        <w:szCs w:val="18"/>
      </w:rPr>
      <w:t xml:space="preserve">SECURE Act </w:t>
    </w:r>
    <w:r w:rsidR="008D2A7F">
      <w:rPr>
        <w:b/>
        <w:sz w:val="18"/>
        <w:szCs w:val="18"/>
      </w:rPr>
      <w:t>Employer Interim</w:t>
    </w:r>
    <w:r>
      <w:rPr>
        <w:b/>
        <w:sz w:val="18"/>
        <w:szCs w:val="18"/>
      </w:rPr>
      <w:t xml:space="preserve"> Amendment Instructions</w:t>
    </w:r>
  </w:p>
  <w:p w14:paraId="7AA1FE21" w14:textId="77777777" w:rsidR="00DF5BD1" w:rsidRDefault="00DF5B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0"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0"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1"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4"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0EC7CB5"/>
    <w:multiLevelType w:val="hybridMultilevel"/>
    <w:tmpl w:val="0404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92A3FA6"/>
    <w:multiLevelType w:val="hybridMultilevel"/>
    <w:tmpl w:val="EB7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4"/>
  </w:num>
  <w:num w:numId="2">
    <w:abstractNumId w:val="1"/>
  </w:num>
  <w:num w:numId="3">
    <w:abstractNumId w:val="31"/>
  </w:num>
  <w:num w:numId="4">
    <w:abstractNumId w:val="8"/>
  </w:num>
  <w:num w:numId="5">
    <w:abstractNumId w:val="4"/>
  </w:num>
  <w:num w:numId="6">
    <w:abstractNumId w:val="10"/>
  </w:num>
  <w:num w:numId="7">
    <w:abstractNumId w:val="14"/>
  </w:num>
  <w:num w:numId="8">
    <w:abstractNumId w:val="16"/>
  </w:num>
  <w:num w:numId="9">
    <w:abstractNumId w:val="26"/>
  </w:num>
  <w:num w:numId="10">
    <w:abstractNumId w:val="21"/>
  </w:num>
  <w:num w:numId="11">
    <w:abstractNumId w:val="17"/>
  </w:num>
  <w:num w:numId="12">
    <w:abstractNumId w:val="41"/>
  </w:num>
  <w:num w:numId="13">
    <w:abstractNumId w:val="35"/>
  </w:num>
  <w:num w:numId="14">
    <w:abstractNumId w:val="0"/>
  </w:num>
  <w:num w:numId="15">
    <w:abstractNumId w:val="38"/>
  </w:num>
  <w:num w:numId="16">
    <w:abstractNumId w:val="7"/>
  </w:num>
  <w:num w:numId="17">
    <w:abstractNumId w:val="25"/>
  </w:num>
  <w:num w:numId="18">
    <w:abstractNumId w:val="13"/>
  </w:num>
  <w:num w:numId="19">
    <w:abstractNumId w:val="15"/>
  </w:num>
  <w:num w:numId="20">
    <w:abstractNumId w:val="2"/>
  </w:num>
  <w:num w:numId="21">
    <w:abstractNumId w:val="30"/>
  </w:num>
  <w:num w:numId="22">
    <w:abstractNumId w:val="27"/>
  </w:num>
  <w:num w:numId="23">
    <w:abstractNumId w:val="5"/>
  </w:num>
  <w:num w:numId="24">
    <w:abstractNumId w:val="22"/>
  </w:num>
  <w:num w:numId="25">
    <w:abstractNumId w:val="24"/>
  </w:num>
  <w:num w:numId="26">
    <w:abstractNumId w:val="12"/>
  </w:num>
  <w:num w:numId="27">
    <w:abstractNumId w:val="39"/>
  </w:num>
  <w:num w:numId="28">
    <w:abstractNumId w:val="6"/>
  </w:num>
  <w:num w:numId="29">
    <w:abstractNumId w:val="11"/>
  </w:num>
  <w:num w:numId="30">
    <w:abstractNumId w:val="37"/>
  </w:num>
  <w:num w:numId="31">
    <w:abstractNumId w:val="9"/>
  </w:num>
  <w:num w:numId="32">
    <w:abstractNumId w:val="29"/>
  </w:num>
  <w:num w:numId="33">
    <w:abstractNumId w:val="23"/>
  </w:num>
  <w:num w:numId="34">
    <w:abstractNumId w:val="36"/>
  </w:num>
  <w:num w:numId="35">
    <w:abstractNumId w:val="33"/>
  </w:num>
  <w:num w:numId="36">
    <w:abstractNumId w:val="20"/>
  </w:num>
  <w:num w:numId="37">
    <w:abstractNumId w:val="19"/>
  </w:num>
  <w:num w:numId="38">
    <w:abstractNumId w:val="40"/>
  </w:num>
  <w:num w:numId="39">
    <w:abstractNumId w:val="3"/>
  </w:num>
  <w:num w:numId="40">
    <w:abstractNumId w:val="18"/>
  </w:num>
  <w:num w:numId="41">
    <w:abstractNumId w:val="32"/>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22ED5DE-0754-4A00-B84D-0BEA8A0B443E}"/>
    <w:docVar w:name="dgnword-eventsink" w:val="1558983056016"/>
  </w:docVars>
  <w:rsids>
    <w:rsidRoot w:val="00DD6F74"/>
    <w:rsid w:val="000021FC"/>
    <w:rsid w:val="0000242D"/>
    <w:rsid w:val="000048CC"/>
    <w:rsid w:val="000100F6"/>
    <w:rsid w:val="00011122"/>
    <w:rsid w:val="00022F5D"/>
    <w:rsid w:val="00023C4E"/>
    <w:rsid w:val="00026565"/>
    <w:rsid w:val="00033D82"/>
    <w:rsid w:val="00035519"/>
    <w:rsid w:val="00036AAF"/>
    <w:rsid w:val="00045F5D"/>
    <w:rsid w:val="00061CD1"/>
    <w:rsid w:val="00063FA4"/>
    <w:rsid w:val="000641A1"/>
    <w:rsid w:val="000646FB"/>
    <w:rsid w:val="000740AA"/>
    <w:rsid w:val="000832E9"/>
    <w:rsid w:val="00090567"/>
    <w:rsid w:val="00092656"/>
    <w:rsid w:val="00094602"/>
    <w:rsid w:val="00095276"/>
    <w:rsid w:val="000A2398"/>
    <w:rsid w:val="000A3336"/>
    <w:rsid w:val="000C1DE8"/>
    <w:rsid w:val="000D3FDB"/>
    <w:rsid w:val="000E7800"/>
    <w:rsid w:val="000F14DB"/>
    <w:rsid w:val="000F1CF7"/>
    <w:rsid w:val="000F7601"/>
    <w:rsid w:val="00107EC2"/>
    <w:rsid w:val="0011271B"/>
    <w:rsid w:val="001146E2"/>
    <w:rsid w:val="00122EAA"/>
    <w:rsid w:val="00126AE1"/>
    <w:rsid w:val="00132FA0"/>
    <w:rsid w:val="00137A46"/>
    <w:rsid w:val="00137FC4"/>
    <w:rsid w:val="00144B4E"/>
    <w:rsid w:val="00146DE9"/>
    <w:rsid w:val="00150F6D"/>
    <w:rsid w:val="00153806"/>
    <w:rsid w:val="00155BD8"/>
    <w:rsid w:val="00161350"/>
    <w:rsid w:val="001703C9"/>
    <w:rsid w:val="00174081"/>
    <w:rsid w:val="00176319"/>
    <w:rsid w:val="00176401"/>
    <w:rsid w:val="00181AE5"/>
    <w:rsid w:val="00192511"/>
    <w:rsid w:val="00197C9D"/>
    <w:rsid w:val="001A072F"/>
    <w:rsid w:val="001A243F"/>
    <w:rsid w:val="001A5804"/>
    <w:rsid w:val="001B2DBC"/>
    <w:rsid w:val="001B3268"/>
    <w:rsid w:val="001B389D"/>
    <w:rsid w:val="001B6BA2"/>
    <w:rsid w:val="001C5CC8"/>
    <w:rsid w:val="001C5DD8"/>
    <w:rsid w:val="001C631B"/>
    <w:rsid w:val="001C789A"/>
    <w:rsid w:val="001D7640"/>
    <w:rsid w:val="001E1CF1"/>
    <w:rsid w:val="001E20A2"/>
    <w:rsid w:val="001E2A45"/>
    <w:rsid w:val="001E4A1E"/>
    <w:rsid w:val="001E6316"/>
    <w:rsid w:val="001F1723"/>
    <w:rsid w:val="00211BE0"/>
    <w:rsid w:val="00213B88"/>
    <w:rsid w:val="00216E0B"/>
    <w:rsid w:val="00237EDA"/>
    <w:rsid w:val="002421D7"/>
    <w:rsid w:val="00264437"/>
    <w:rsid w:val="002755BF"/>
    <w:rsid w:val="00283F84"/>
    <w:rsid w:val="002904B2"/>
    <w:rsid w:val="00290CD1"/>
    <w:rsid w:val="00294F7F"/>
    <w:rsid w:val="002A330B"/>
    <w:rsid w:val="002A42BC"/>
    <w:rsid w:val="002A5C89"/>
    <w:rsid w:val="002A6F11"/>
    <w:rsid w:val="002A7D3A"/>
    <w:rsid w:val="002B00BB"/>
    <w:rsid w:val="002B5E55"/>
    <w:rsid w:val="002B6974"/>
    <w:rsid w:val="002B6E4D"/>
    <w:rsid w:val="002E5D48"/>
    <w:rsid w:val="002F5913"/>
    <w:rsid w:val="002F73D3"/>
    <w:rsid w:val="00302EEF"/>
    <w:rsid w:val="003040D2"/>
    <w:rsid w:val="003050DF"/>
    <w:rsid w:val="0030711D"/>
    <w:rsid w:val="00307DEC"/>
    <w:rsid w:val="00311647"/>
    <w:rsid w:val="00312282"/>
    <w:rsid w:val="003133A8"/>
    <w:rsid w:val="00317417"/>
    <w:rsid w:val="00325FA5"/>
    <w:rsid w:val="003304B7"/>
    <w:rsid w:val="00334628"/>
    <w:rsid w:val="003430F4"/>
    <w:rsid w:val="00344CB7"/>
    <w:rsid w:val="003502CE"/>
    <w:rsid w:val="0035201C"/>
    <w:rsid w:val="003550D3"/>
    <w:rsid w:val="00361A91"/>
    <w:rsid w:val="00362A01"/>
    <w:rsid w:val="00366BBB"/>
    <w:rsid w:val="00366CAE"/>
    <w:rsid w:val="00370252"/>
    <w:rsid w:val="003853FC"/>
    <w:rsid w:val="003901D3"/>
    <w:rsid w:val="003B16DD"/>
    <w:rsid w:val="003B2AC3"/>
    <w:rsid w:val="003B4396"/>
    <w:rsid w:val="003B6D5A"/>
    <w:rsid w:val="003C2AE3"/>
    <w:rsid w:val="003C7989"/>
    <w:rsid w:val="003D124F"/>
    <w:rsid w:val="003D2C93"/>
    <w:rsid w:val="003D3BD6"/>
    <w:rsid w:val="003F7DC3"/>
    <w:rsid w:val="00402961"/>
    <w:rsid w:val="00405DFE"/>
    <w:rsid w:val="00416DCC"/>
    <w:rsid w:val="00417080"/>
    <w:rsid w:val="004231CC"/>
    <w:rsid w:val="004343A4"/>
    <w:rsid w:val="00436685"/>
    <w:rsid w:val="004373A1"/>
    <w:rsid w:val="00440C44"/>
    <w:rsid w:val="004416FB"/>
    <w:rsid w:val="00444E8A"/>
    <w:rsid w:val="00446108"/>
    <w:rsid w:val="004552CF"/>
    <w:rsid w:val="00465266"/>
    <w:rsid w:val="00472D6F"/>
    <w:rsid w:val="00473457"/>
    <w:rsid w:val="00487486"/>
    <w:rsid w:val="004A2DAD"/>
    <w:rsid w:val="004A7C43"/>
    <w:rsid w:val="004B13E6"/>
    <w:rsid w:val="004C0FD7"/>
    <w:rsid w:val="004C4C7C"/>
    <w:rsid w:val="004D4368"/>
    <w:rsid w:val="004D46EC"/>
    <w:rsid w:val="004D5385"/>
    <w:rsid w:val="004D53F1"/>
    <w:rsid w:val="004F05D2"/>
    <w:rsid w:val="004F37F4"/>
    <w:rsid w:val="004F6A88"/>
    <w:rsid w:val="004F7A20"/>
    <w:rsid w:val="004F7F3D"/>
    <w:rsid w:val="00500ACD"/>
    <w:rsid w:val="005067ED"/>
    <w:rsid w:val="00512C3A"/>
    <w:rsid w:val="00517768"/>
    <w:rsid w:val="005304D9"/>
    <w:rsid w:val="00537933"/>
    <w:rsid w:val="00544FC6"/>
    <w:rsid w:val="005455D4"/>
    <w:rsid w:val="00551FF3"/>
    <w:rsid w:val="005644FB"/>
    <w:rsid w:val="00572484"/>
    <w:rsid w:val="00574E04"/>
    <w:rsid w:val="00577814"/>
    <w:rsid w:val="0058317E"/>
    <w:rsid w:val="00584D29"/>
    <w:rsid w:val="00594CC6"/>
    <w:rsid w:val="005B7E07"/>
    <w:rsid w:val="005C1F12"/>
    <w:rsid w:val="005C21C1"/>
    <w:rsid w:val="005C21D9"/>
    <w:rsid w:val="005C610B"/>
    <w:rsid w:val="005C6489"/>
    <w:rsid w:val="00603F7F"/>
    <w:rsid w:val="0060797B"/>
    <w:rsid w:val="0061084E"/>
    <w:rsid w:val="00612363"/>
    <w:rsid w:val="006129B1"/>
    <w:rsid w:val="006157C1"/>
    <w:rsid w:val="0063071B"/>
    <w:rsid w:val="00633525"/>
    <w:rsid w:val="00650E0E"/>
    <w:rsid w:val="006538AB"/>
    <w:rsid w:val="0065758F"/>
    <w:rsid w:val="00665BF9"/>
    <w:rsid w:val="00666250"/>
    <w:rsid w:val="006736AE"/>
    <w:rsid w:val="00675D9A"/>
    <w:rsid w:val="006764ED"/>
    <w:rsid w:val="006867E7"/>
    <w:rsid w:val="00694010"/>
    <w:rsid w:val="006943FD"/>
    <w:rsid w:val="00695EDF"/>
    <w:rsid w:val="006A54D1"/>
    <w:rsid w:val="006A7EAE"/>
    <w:rsid w:val="006B5EF8"/>
    <w:rsid w:val="006C080F"/>
    <w:rsid w:val="006C6A33"/>
    <w:rsid w:val="006C73AF"/>
    <w:rsid w:val="006E3452"/>
    <w:rsid w:val="006E4506"/>
    <w:rsid w:val="006F42A2"/>
    <w:rsid w:val="00706285"/>
    <w:rsid w:val="00717B1D"/>
    <w:rsid w:val="00731912"/>
    <w:rsid w:val="0073230E"/>
    <w:rsid w:val="0073379A"/>
    <w:rsid w:val="00744C85"/>
    <w:rsid w:val="00745416"/>
    <w:rsid w:val="00745ECA"/>
    <w:rsid w:val="00746D0F"/>
    <w:rsid w:val="00751A3E"/>
    <w:rsid w:val="00751EBC"/>
    <w:rsid w:val="0075656A"/>
    <w:rsid w:val="00760838"/>
    <w:rsid w:val="00762C65"/>
    <w:rsid w:val="007655B8"/>
    <w:rsid w:val="007678CD"/>
    <w:rsid w:val="00767A3F"/>
    <w:rsid w:val="007704CB"/>
    <w:rsid w:val="0077712F"/>
    <w:rsid w:val="00782945"/>
    <w:rsid w:val="00787B66"/>
    <w:rsid w:val="007A2B29"/>
    <w:rsid w:val="007A5CAC"/>
    <w:rsid w:val="007A7122"/>
    <w:rsid w:val="007B4007"/>
    <w:rsid w:val="007B7015"/>
    <w:rsid w:val="007C11D1"/>
    <w:rsid w:val="007D008F"/>
    <w:rsid w:val="007D5461"/>
    <w:rsid w:val="007D752E"/>
    <w:rsid w:val="007D7551"/>
    <w:rsid w:val="007E16FF"/>
    <w:rsid w:val="007E1895"/>
    <w:rsid w:val="007E4B2D"/>
    <w:rsid w:val="007E5DEB"/>
    <w:rsid w:val="007E7571"/>
    <w:rsid w:val="007F3269"/>
    <w:rsid w:val="007F4659"/>
    <w:rsid w:val="007F481E"/>
    <w:rsid w:val="007F52FF"/>
    <w:rsid w:val="007F5598"/>
    <w:rsid w:val="007F7EFF"/>
    <w:rsid w:val="008046BA"/>
    <w:rsid w:val="00805845"/>
    <w:rsid w:val="00807AA9"/>
    <w:rsid w:val="00813C08"/>
    <w:rsid w:val="008203C3"/>
    <w:rsid w:val="00830D64"/>
    <w:rsid w:val="0083239A"/>
    <w:rsid w:val="00840A7E"/>
    <w:rsid w:val="00844A66"/>
    <w:rsid w:val="008475C8"/>
    <w:rsid w:val="008656A7"/>
    <w:rsid w:val="008658E1"/>
    <w:rsid w:val="00874E89"/>
    <w:rsid w:val="00882CA2"/>
    <w:rsid w:val="008934E9"/>
    <w:rsid w:val="0089440F"/>
    <w:rsid w:val="0089764D"/>
    <w:rsid w:val="008A17F4"/>
    <w:rsid w:val="008A45DB"/>
    <w:rsid w:val="008A7EAA"/>
    <w:rsid w:val="008B5A4B"/>
    <w:rsid w:val="008C0517"/>
    <w:rsid w:val="008C119E"/>
    <w:rsid w:val="008C45B3"/>
    <w:rsid w:val="008C71F6"/>
    <w:rsid w:val="008D2A7F"/>
    <w:rsid w:val="008E07B4"/>
    <w:rsid w:val="008E2807"/>
    <w:rsid w:val="008E7131"/>
    <w:rsid w:val="008F1243"/>
    <w:rsid w:val="008F6CED"/>
    <w:rsid w:val="00900A95"/>
    <w:rsid w:val="00906B7F"/>
    <w:rsid w:val="009201FF"/>
    <w:rsid w:val="009216D0"/>
    <w:rsid w:val="00921E1C"/>
    <w:rsid w:val="00925874"/>
    <w:rsid w:val="009277A3"/>
    <w:rsid w:val="00936DD0"/>
    <w:rsid w:val="00946BE7"/>
    <w:rsid w:val="00947EB3"/>
    <w:rsid w:val="009645E1"/>
    <w:rsid w:val="009677B8"/>
    <w:rsid w:val="009726E9"/>
    <w:rsid w:val="00972D06"/>
    <w:rsid w:val="009B24D3"/>
    <w:rsid w:val="009B6EBA"/>
    <w:rsid w:val="009C2222"/>
    <w:rsid w:val="009C51F2"/>
    <w:rsid w:val="009D0118"/>
    <w:rsid w:val="009E07A1"/>
    <w:rsid w:val="009E1D54"/>
    <w:rsid w:val="009F1BC7"/>
    <w:rsid w:val="009F52EE"/>
    <w:rsid w:val="009F631B"/>
    <w:rsid w:val="009F75ED"/>
    <w:rsid w:val="00A105BB"/>
    <w:rsid w:val="00A1216E"/>
    <w:rsid w:val="00A14C31"/>
    <w:rsid w:val="00A268A6"/>
    <w:rsid w:val="00A303E6"/>
    <w:rsid w:val="00A35BD4"/>
    <w:rsid w:val="00A36C7A"/>
    <w:rsid w:val="00A40FC3"/>
    <w:rsid w:val="00A45658"/>
    <w:rsid w:val="00A5093D"/>
    <w:rsid w:val="00A519DE"/>
    <w:rsid w:val="00A52EAA"/>
    <w:rsid w:val="00A61258"/>
    <w:rsid w:val="00A61780"/>
    <w:rsid w:val="00A75C5A"/>
    <w:rsid w:val="00A82FE0"/>
    <w:rsid w:val="00A869AF"/>
    <w:rsid w:val="00A90B48"/>
    <w:rsid w:val="00A9522E"/>
    <w:rsid w:val="00AA297D"/>
    <w:rsid w:val="00AA5E42"/>
    <w:rsid w:val="00AB122B"/>
    <w:rsid w:val="00AB5707"/>
    <w:rsid w:val="00AC210C"/>
    <w:rsid w:val="00AD6871"/>
    <w:rsid w:val="00AE200E"/>
    <w:rsid w:val="00AE25E7"/>
    <w:rsid w:val="00AF43ED"/>
    <w:rsid w:val="00B11604"/>
    <w:rsid w:val="00B11974"/>
    <w:rsid w:val="00B13BC1"/>
    <w:rsid w:val="00B2195F"/>
    <w:rsid w:val="00B23EAE"/>
    <w:rsid w:val="00B24F0C"/>
    <w:rsid w:val="00B44775"/>
    <w:rsid w:val="00B53F5C"/>
    <w:rsid w:val="00B54546"/>
    <w:rsid w:val="00B57908"/>
    <w:rsid w:val="00B83662"/>
    <w:rsid w:val="00B84BE8"/>
    <w:rsid w:val="00B972AF"/>
    <w:rsid w:val="00BA1C30"/>
    <w:rsid w:val="00BC3E2D"/>
    <w:rsid w:val="00BD3F5A"/>
    <w:rsid w:val="00BF2301"/>
    <w:rsid w:val="00BF789E"/>
    <w:rsid w:val="00C056A4"/>
    <w:rsid w:val="00C07F65"/>
    <w:rsid w:val="00C11AC4"/>
    <w:rsid w:val="00C139DB"/>
    <w:rsid w:val="00C150AF"/>
    <w:rsid w:val="00C15A0C"/>
    <w:rsid w:val="00C177BF"/>
    <w:rsid w:val="00C274F6"/>
    <w:rsid w:val="00C32C95"/>
    <w:rsid w:val="00C33F2B"/>
    <w:rsid w:val="00C44351"/>
    <w:rsid w:val="00C44355"/>
    <w:rsid w:val="00C45DAC"/>
    <w:rsid w:val="00C4743F"/>
    <w:rsid w:val="00C477DF"/>
    <w:rsid w:val="00C60821"/>
    <w:rsid w:val="00C73A3D"/>
    <w:rsid w:val="00C83E2C"/>
    <w:rsid w:val="00C85426"/>
    <w:rsid w:val="00C86D45"/>
    <w:rsid w:val="00C966B4"/>
    <w:rsid w:val="00C96DFE"/>
    <w:rsid w:val="00CA71DD"/>
    <w:rsid w:val="00CB47EF"/>
    <w:rsid w:val="00CB5CE0"/>
    <w:rsid w:val="00CC5BCA"/>
    <w:rsid w:val="00CD0D23"/>
    <w:rsid w:val="00CD515C"/>
    <w:rsid w:val="00CE1726"/>
    <w:rsid w:val="00CE56F8"/>
    <w:rsid w:val="00CF7CF1"/>
    <w:rsid w:val="00D049D5"/>
    <w:rsid w:val="00D05113"/>
    <w:rsid w:val="00D06441"/>
    <w:rsid w:val="00D23373"/>
    <w:rsid w:val="00D25400"/>
    <w:rsid w:val="00D315FE"/>
    <w:rsid w:val="00D54AAB"/>
    <w:rsid w:val="00D56594"/>
    <w:rsid w:val="00D60686"/>
    <w:rsid w:val="00D641E6"/>
    <w:rsid w:val="00D731FD"/>
    <w:rsid w:val="00D76C22"/>
    <w:rsid w:val="00D80269"/>
    <w:rsid w:val="00D8422A"/>
    <w:rsid w:val="00D8477D"/>
    <w:rsid w:val="00D905CF"/>
    <w:rsid w:val="00D90B19"/>
    <w:rsid w:val="00D920D0"/>
    <w:rsid w:val="00DA03EA"/>
    <w:rsid w:val="00DA32CF"/>
    <w:rsid w:val="00DA5DAD"/>
    <w:rsid w:val="00DB14E9"/>
    <w:rsid w:val="00DB268B"/>
    <w:rsid w:val="00DB4C0B"/>
    <w:rsid w:val="00DB5BE5"/>
    <w:rsid w:val="00DB6F81"/>
    <w:rsid w:val="00DC0296"/>
    <w:rsid w:val="00DC12DE"/>
    <w:rsid w:val="00DC4D5A"/>
    <w:rsid w:val="00DC684D"/>
    <w:rsid w:val="00DC75A1"/>
    <w:rsid w:val="00DD42BB"/>
    <w:rsid w:val="00DD6F74"/>
    <w:rsid w:val="00DF5BD1"/>
    <w:rsid w:val="00DF7B19"/>
    <w:rsid w:val="00E071FF"/>
    <w:rsid w:val="00E07290"/>
    <w:rsid w:val="00E12D1B"/>
    <w:rsid w:val="00E35765"/>
    <w:rsid w:val="00E5454A"/>
    <w:rsid w:val="00E757AB"/>
    <w:rsid w:val="00E86AFE"/>
    <w:rsid w:val="00E87346"/>
    <w:rsid w:val="00E90F4C"/>
    <w:rsid w:val="00EB12D8"/>
    <w:rsid w:val="00EB312A"/>
    <w:rsid w:val="00EC01DA"/>
    <w:rsid w:val="00EC06FC"/>
    <w:rsid w:val="00EC6F3C"/>
    <w:rsid w:val="00ED3DA5"/>
    <w:rsid w:val="00ED4985"/>
    <w:rsid w:val="00ED4F80"/>
    <w:rsid w:val="00EE06AD"/>
    <w:rsid w:val="00EF2F78"/>
    <w:rsid w:val="00EF3574"/>
    <w:rsid w:val="00EF424B"/>
    <w:rsid w:val="00EF54EC"/>
    <w:rsid w:val="00F018E8"/>
    <w:rsid w:val="00F11B18"/>
    <w:rsid w:val="00F14475"/>
    <w:rsid w:val="00F16DE9"/>
    <w:rsid w:val="00F1759A"/>
    <w:rsid w:val="00F21A19"/>
    <w:rsid w:val="00F21AF0"/>
    <w:rsid w:val="00F26B7F"/>
    <w:rsid w:val="00F43064"/>
    <w:rsid w:val="00F50292"/>
    <w:rsid w:val="00F50B74"/>
    <w:rsid w:val="00F50B89"/>
    <w:rsid w:val="00F5153E"/>
    <w:rsid w:val="00F528E8"/>
    <w:rsid w:val="00F54333"/>
    <w:rsid w:val="00F560D2"/>
    <w:rsid w:val="00F61780"/>
    <w:rsid w:val="00F63750"/>
    <w:rsid w:val="00F64C5E"/>
    <w:rsid w:val="00F73E33"/>
    <w:rsid w:val="00F91FA3"/>
    <w:rsid w:val="00FA663E"/>
    <w:rsid w:val="00FB6FC4"/>
    <w:rsid w:val="00FB76C7"/>
    <w:rsid w:val="00FC4809"/>
    <w:rsid w:val="00FD4A40"/>
    <w:rsid w:val="00FD5B29"/>
    <w:rsid w:val="00FD7647"/>
    <w:rsid w:val="00FE253E"/>
    <w:rsid w:val="00FE2CDF"/>
    <w:rsid w:val="00FE7346"/>
    <w:rsid w:val="00FF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108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table" w:styleId="TableGrid">
    <w:name w:val="Table Grid"/>
    <w:basedOn w:val="TableNormal"/>
    <w:uiPriority w:val="59"/>
    <w:rsid w:val="00F1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F11B1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DC0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5270-837C-4192-8EB8-DC293CCAF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1601</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2022-05-20T13:41:00Z</dcterms:created>
  <dcterms:modified xsi:type="dcterms:W3CDTF">2022-05-20T13:43:00Z</dcterms:modified>
  <cp:category/>
</cp:coreProperties>
</file>