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C5F7" w14:textId="1EA067ED" w:rsidR="002967EB" w:rsidRPr="00694602" w:rsidRDefault="0067055A" w:rsidP="0067055A">
      <w:pPr>
        <w:ind w:left="720" w:hanging="360"/>
        <w:jc w:val="center"/>
        <w:rPr>
          <w:b/>
          <w:bCs/>
          <w:sz w:val="24"/>
          <w:szCs w:val="24"/>
        </w:rPr>
      </w:pPr>
      <w:r w:rsidRPr="00694602">
        <w:rPr>
          <w:b/>
          <w:bCs/>
          <w:sz w:val="24"/>
          <w:szCs w:val="24"/>
        </w:rPr>
        <w:t>SECURE 2.0 UPDATE</w:t>
      </w:r>
    </w:p>
    <w:p w14:paraId="783F2B5E" w14:textId="77777777" w:rsidR="0067055A" w:rsidRDefault="0067055A" w:rsidP="005E2F09">
      <w:pPr>
        <w:ind w:left="720" w:hanging="360"/>
      </w:pPr>
    </w:p>
    <w:p w14:paraId="1A9B6EB9" w14:textId="77777777" w:rsidR="0067055A" w:rsidRDefault="0067055A" w:rsidP="0067055A"/>
    <w:p w14:paraId="499A5583" w14:textId="4FDD6F17" w:rsidR="008D0A7F" w:rsidRDefault="00694602" w:rsidP="00694602">
      <w:r>
        <w:t xml:space="preserve">SECURE 2.0 </w:t>
      </w:r>
      <w:r w:rsidR="00CA79DF">
        <w:t xml:space="preserve">was enacted </w:t>
      </w:r>
      <w:r>
        <w:t xml:space="preserve">at the end of 2022, </w:t>
      </w:r>
      <w:r w:rsidR="008D0A7F">
        <w:t xml:space="preserve">and </w:t>
      </w:r>
      <w:r>
        <w:t xml:space="preserve">FIS is </w:t>
      </w:r>
      <w:r w:rsidR="00AE2D23">
        <w:t xml:space="preserve">currently </w:t>
      </w:r>
      <w:r w:rsidR="00DF5CC8">
        <w:t>determining the path forward on various provisions</w:t>
      </w:r>
      <w:r w:rsidR="00557C9D">
        <w:t xml:space="preserve">. </w:t>
      </w:r>
      <w:r w:rsidR="008D0A7F">
        <w:t>We are hoping for further guidance from the IRS before we begin drafting amendments</w:t>
      </w:r>
      <w:r w:rsidR="000561D1">
        <w:t xml:space="preserve"> for ongoing plans</w:t>
      </w:r>
      <w:r w:rsidR="008D0A7F">
        <w:t xml:space="preserve">. </w:t>
      </w:r>
    </w:p>
    <w:p w14:paraId="6ED49139" w14:textId="77777777" w:rsidR="008D0A7F" w:rsidRDefault="008D0A7F" w:rsidP="00694602"/>
    <w:p w14:paraId="1B2FCB6B" w14:textId="77777777" w:rsidR="008D0A7F" w:rsidRDefault="008D0A7F" w:rsidP="00694602">
      <w:r>
        <w:t xml:space="preserve">At </w:t>
      </w:r>
      <w:r w:rsidR="00CF38E5">
        <w:t>the moment, there is generally no requirement that a plan</w:t>
      </w:r>
      <w:r>
        <w:t xml:space="preserve"> - any defined contribution, defined benefit, 403(b) or 457(b) plan, including tax-exempt 457(b) plans - </w:t>
      </w:r>
      <w:r w:rsidR="00CF38E5">
        <w:t>be amended prior to the end of the 2025 plan year</w:t>
      </w:r>
      <w:r>
        <w:t xml:space="preserve"> (2027 plan year for governmental and certain union plans)</w:t>
      </w:r>
      <w:r w:rsidR="00CF38E5">
        <w:t xml:space="preserve"> to take advantage of SECURE 2.0. </w:t>
      </w:r>
    </w:p>
    <w:p w14:paraId="4E9B79B8" w14:textId="77777777" w:rsidR="008D0A7F" w:rsidRDefault="008D0A7F" w:rsidP="00694602"/>
    <w:p w14:paraId="277B81F6" w14:textId="773176D1" w:rsidR="00235DAF" w:rsidRDefault="00235DAF" w:rsidP="00694602">
      <w:r>
        <w:t xml:space="preserve">Most important – </w:t>
      </w:r>
      <w:r w:rsidRPr="008D0A7F">
        <w:rPr>
          <w:b/>
          <w:bCs/>
        </w:rPr>
        <w:t>there is no operational failure if the plan is amended by the last day of the plan year beginning on or after January 1, 2025</w:t>
      </w:r>
      <w:r>
        <w:t>. The IRS can</w:t>
      </w:r>
      <w:r w:rsidR="00D14D31">
        <w:t xml:space="preserve"> also</w:t>
      </w:r>
      <w:r>
        <w:t xml:space="preserve"> extend that timeframe. </w:t>
      </w:r>
      <w:r w:rsidR="000561D1">
        <w:t>SECURE 2.0 also provides anti-cutback relief.</w:t>
      </w:r>
    </w:p>
    <w:p w14:paraId="451B9D3D" w14:textId="77777777" w:rsidR="00235DAF" w:rsidRDefault="00235DAF" w:rsidP="00694602"/>
    <w:p w14:paraId="00F5FE6A" w14:textId="7CFBA483" w:rsidR="00235DAF" w:rsidRDefault="00235DAF" w:rsidP="00694602">
      <w:r>
        <w:t>Plans, however, need to operate in accordance with the law</w:t>
      </w:r>
      <w:r w:rsidR="00CA79DF">
        <w:t>,</w:t>
      </w:r>
      <w:r>
        <w:t xml:space="preserve"> and </w:t>
      </w:r>
      <w:r w:rsidR="00CA79DF">
        <w:t xml:space="preserve">so whatever </w:t>
      </w:r>
      <w:r>
        <w:t xml:space="preserve">amendment </w:t>
      </w:r>
      <w:r w:rsidR="00CA79DF">
        <w:t xml:space="preserve">is </w:t>
      </w:r>
      <w:r>
        <w:t>ultimately adopted must conform with the changes</w:t>
      </w:r>
      <w:r w:rsidR="00CA79DF">
        <w:t xml:space="preserve"> retroactively</w:t>
      </w:r>
      <w:r>
        <w:t>.</w:t>
      </w:r>
      <w:r w:rsidR="00CF38E5">
        <w:t xml:space="preserve">  Care should be taken to document which </w:t>
      </w:r>
      <w:r w:rsidR="00BE7FBB">
        <w:t xml:space="preserve">SECURE </w:t>
      </w:r>
      <w:r w:rsidR="00CF38E5">
        <w:t>provisions are being used</w:t>
      </w:r>
      <w:r w:rsidR="008E2E4E" w:rsidRPr="008E2E4E">
        <w:t xml:space="preserve"> </w:t>
      </w:r>
      <w:r w:rsidR="008E2E4E">
        <w:t>as well as the date that each discretionary SECURE provision is first put into effect</w:t>
      </w:r>
      <w:r w:rsidR="00CF38E5">
        <w:t>.</w:t>
      </w:r>
    </w:p>
    <w:p w14:paraId="2C0C41DB" w14:textId="77777777" w:rsidR="00E50B96" w:rsidRDefault="00E50B96" w:rsidP="00694602"/>
    <w:p w14:paraId="5A52A87D" w14:textId="5CE329A7" w:rsidR="00E50B96" w:rsidRDefault="00E50B96" w:rsidP="00E50B96">
      <w:pPr>
        <w:rPr>
          <w:b/>
          <w:bCs/>
        </w:rPr>
      </w:pPr>
      <w:r>
        <w:rPr>
          <w:b/>
          <w:bCs/>
        </w:rPr>
        <w:t xml:space="preserve">We will be providing a checklist of the discretionary provisions of SECURE 2.0, so that you can keep track of what your employers are selecting, so that it will be easier to produce an accurate SECURE amendment when </w:t>
      </w:r>
      <w:r w:rsidR="00CA79DF">
        <w:rPr>
          <w:b/>
          <w:bCs/>
        </w:rPr>
        <w:t>the time comes</w:t>
      </w:r>
      <w:r>
        <w:rPr>
          <w:b/>
          <w:bCs/>
        </w:rPr>
        <w:t>. Please keep checking this link for the checklist.</w:t>
      </w:r>
    </w:p>
    <w:p w14:paraId="466D3600" w14:textId="77777777" w:rsidR="00235DAF" w:rsidRDefault="00235DAF" w:rsidP="00694602"/>
    <w:p w14:paraId="6482676E" w14:textId="77777777" w:rsidR="00DF5CC8" w:rsidRDefault="00DF5CC8" w:rsidP="00694602"/>
    <w:p w14:paraId="24A5B917" w14:textId="78CF3673" w:rsidR="001D08F0" w:rsidRDefault="00D04F9E" w:rsidP="002967EB">
      <w:r>
        <w:rPr>
          <w:b/>
          <w:bCs/>
        </w:rPr>
        <w:t>Do terminating plans have to update for SECURE 2.0</w:t>
      </w:r>
      <w:r w:rsidR="001D08F0">
        <w:rPr>
          <w:b/>
          <w:bCs/>
        </w:rPr>
        <w:t>?</w:t>
      </w:r>
    </w:p>
    <w:p w14:paraId="52CA7697" w14:textId="77777777" w:rsidR="001D08F0" w:rsidRDefault="001D08F0" w:rsidP="002967EB"/>
    <w:p w14:paraId="3159B4A8" w14:textId="7D092130" w:rsidR="002967EB" w:rsidRDefault="00D04F9E" w:rsidP="002967EB">
      <w:r>
        <w:t>Yes. W</w:t>
      </w:r>
      <w:r w:rsidR="002967EB">
        <w:t>e have a</w:t>
      </w:r>
      <w:r w:rsidR="005A76DB">
        <w:t xml:space="preserve">n </w:t>
      </w:r>
      <w:r w:rsidR="002967EB">
        <w:t xml:space="preserve">amendment available at </w:t>
      </w:r>
      <w:hyperlink r:id="rId10" w:history="1">
        <w:r w:rsidR="002967EB">
          <w:rPr>
            <w:rStyle w:val="Hyperlink"/>
            <w:color w:val="0000FF"/>
          </w:rPr>
          <w:t>FIS Relius | Other Resources</w:t>
        </w:r>
      </w:hyperlink>
      <w:r w:rsidR="00C80B78">
        <w:t xml:space="preserve"> only for plans that are currently terminating.</w:t>
      </w:r>
      <w:r w:rsidR="002967EB">
        <w:t xml:space="preserve"> This amendment addresses the changes that are in effect for the 2023 plan year. Near the end of the year, we will update </w:t>
      </w:r>
      <w:r w:rsidR="005B3D4A">
        <w:t>this</w:t>
      </w:r>
      <w:r w:rsidR="002967EB">
        <w:t xml:space="preserve"> amendment to reflect </w:t>
      </w:r>
      <w:r w:rsidR="005B3D4A">
        <w:t xml:space="preserve">SECURE 2.0 </w:t>
      </w:r>
      <w:r w:rsidR="002967EB">
        <w:t xml:space="preserve">provisions that go into effect for the 2024 plan year. </w:t>
      </w:r>
    </w:p>
    <w:p w14:paraId="4A7DF9DE" w14:textId="77777777" w:rsidR="00853C76" w:rsidRDefault="00853C76" w:rsidP="002967EB"/>
    <w:p w14:paraId="5DF62F91" w14:textId="5D455041" w:rsidR="002967EB" w:rsidRDefault="002967EB" w:rsidP="002967EB">
      <w:pPr>
        <w:rPr>
          <w:b/>
          <w:bCs/>
        </w:rPr>
      </w:pPr>
      <w:r w:rsidRPr="00395B22">
        <w:rPr>
          <w:b/>
          <w:bCs/>
        </w:rPr>
        <w:t>What about ongoing plans? When will an amendment for SECURE 2.0 be ready?</w:t>
      </w:r>
      <w:r>
        <w:rPr>
          <w:b/>
          <w:bCs/>
        </w:rPr>
        <w:t xml:space="preserve"> </w:t>
      </w:r>
    </w:p>
    <w:p w14:paraId="1637A96C" w14:textId="77777777" w:rsidR="00853C76" w:rsidRPr="00395B22" w:rsidRDefault="00853C76" w:rsidP="002967EB">
      <w:pPr>
        <w:rPr>
          <w:b/>
          <w:bCs/>
        </w:rPr>
      </w:pPr>
    </w:p>
    <w:p w14:paraId="68F32C5F" w14:textId="58DBECDA" w:rsidR="008C6BBA" w:rsidRDefault="002967EB" w:rsidP="00C235F8">
      <w:r>
        <w:t>We are evaluating our strategy for the content of the SECURE 2.0 amendment for ongoing plans</w:t>
      </w:r>
      <w:r w:rsidR="00C235F8">
        <w:t xml:space="preserve">, with the amendment likely </w:t>
      </w:r>
      <w:r w:rsidR="00CA79DF">
        <w:t xml:space="preserve">becoming </w:t>
      </w:r>
      <w:r w:rsidR="00446B27">
        <w:t xml:space="preserve">available </w:t>
      </w:r>
      <w:r w:rsidR="00C235F8">
        <w:t>near the end of 2024</w:t>
      </w:r>
      <w:r>
        <w:t xml:space="preserve">. </w:t>
      </w:r>
      <w:r w:rsidR="00446B27">
        <w:t xml:space="preserve">That is because we anticipate legislative </w:t>
      </w:r>
      <w:r w:rsidR="00C235F8" w:rsidRPr="00080517">
        <w:t>technical corrections and IRS guidance.   Taking action now, in this environment</w:t>
      </w:r>
      <w:r w:rsidR="00446B27">
        <w:t xml:space="preserve"> (i.e., based only on a good faith interpretation of the statute)</w:t>
      </w:r>
      <w:r w:rsidR="00C235F8" w:rsidRPr="00080517">
        <w:t xml:space="preserve">, leaves a substantial likelihood that a subsequent </w:t>
      </w:r>
      <w:r w:rsidR="00446B27">
        <w:t xml:space="preserve">(second) </w:t>
      </w:r>
      <w:r w:rsidR="00C235F8" w:rsidRPr="00080517">
        <w:t xml:space="preserve">amendment </w:t>
      </w:r>
      <w:r w:rsidR="00446B27">
        <w:t>would be required or desired</w:t>
      </w:r>
      <w:r w:rsidR="00C235F8" w:rsidRPr="00080517">
        <w:t>.</w:t>
      </w:r>
      <w:r w:rsidR="00737217">
        <w:t xml:space="preserve"> </w:t>
      </w:r>
    </w:p>
    <w:p w14:paraId="3E8756DF" w14:textId="77777777" w:rsidR="008C6BBA" w:rsidRDefault="008C6BBA" w:rsidP="00C235F8"/>
    <w:p w14:paraId="189DD2CF" w14:textId="1CECDB17" w:rsidR="00A708DB" w:rsidRPr="00A708DB" w:rsidRDefault="00BA0A9C" w:rsidP="002967EB">
      <w:pPr>
        <w:rPr>
          <w:rFonts w:ascii="Century Schoolbook" w:eastAsia="Times New Roman" w:hAnsi="Century Schoolbook"/>
          <w:b/>
          <w:bCs/>
          <w:color w:val="1F497D"/>
          <w:sz w:val="24"/>
          <w:szCs w:val="24"/>
        </w:rPr>
      </w:pPr>
      <w:r>
        <w:rPr>
          <w:b/>
          <w:bCs/>
        </w:rPr>
        <w:t>What</w:t>
      </w:r>
      <w:r w:rsidR="00A708DB" w:rsidRPr="00A708DB">
        <w:rPr>
          <w:b/>
          <w:bCs/>
        </w:rPr>
        <w:t xml:space="preserve"> about the Roth catch up requirement?</w:t>
      </w:r>
    </w:p>
    <w:p w14:paraId="4DD655F7" w14:textId="77777777" w:rsidR="002967EB" w:rsidRPr="00BE0249" w:rsidRDefault="002967EB" w:rsidP="002967EB"/>
    <w:p w14:paraId="2B364DE3" w14:textId="7FFEBD80" w:rsidR="008A787F" w:rsidRPr="00BE0249" w:rsidRDefault="008A787F" w:rsidP="002967EB">
      <w:r w:rsidRPr="00BE0249">
        <w:t xml:space="preserve">The IRS has just issued guidance for </w:t>
      </w:r>
      <w:r w:rsidR="00193DBC" w:rsidRPr="00BE0249">
        <w:t xml:space="preserve">Roth catch up provisions, Notice 2023-62. </w:t>
      </w:r>
      <w:r w:rsidR="002E1DDD">
        <w:t>The Roth</w:t>
      </w:r>
      <w:r w:rsidR="00280106">
        <w:t xml:space="preserve"> catch up requirement </w:t>
      </w:r>
      <w:r w:rsidR="008219D2">
        <w:t xml:space="preserve">has been </w:t>
      </w:r>
      <w:r w:rsidR="008C6BBA">
        <w:t>operationally</w:t>
      </w:r>
      <w:r w:rsidR="008219D2">
        <w:t xml:space="preserve"> delayed until 2026. In addition, we believe that adding Roth provisions to a plan is integr</w:t>
      </w:r>
      <w:r w:rsidR="005F5D39">
        <w:t xml:space="preserve">al to the SECURE </w:t>
      </w:r>
      <w:r w:rsidR="000561D1">
        <w:t xml:space="preserve">2.0 </w:t>
      </w:r>
      <w:r w:rsidR="005F5D39">
        <w:t xml:space="preserve">changes, so that an amendment </w:t>
      </w:r>
      <w:r w:rsidR="000561D1">
        <w:t xml:space="preserve">to do so </w:t>
      </w:r>
      <w:r w:rsidR="005F5D39">
        <w:t>is not required at the present time.</w:t>
      </w:r>
    </w:p>
    <w:p w14:paraId="3C69073A" w14:textId="77777777" w:rsidR="005E2F09" w:rsidRDefault="005E2F09" w:rsidP="005E2F09">
      <w:pPr>
        <w:rPr>
          <w:rFonts w:ascii="Century Schoolbook" w:hAnsi="Century Schoolbook"/>
          <w:color w:val="1F497D"/>
          <w:sz w:val="24"/>
          <w:szCs w:val="24"/>
        </w:rPr>
      </w:pPr>
    </w:p>
    <w:p w14:paraId="083321C2" w14:textId="3EB084B2" w:rsidR="00080517" w:rsidRDefault="008B7DB5">
      <w:pPr>
        <w:rPr>
          <w:b/>
          <w:bCs/>
        </w:rPr>
      </w:pPr>
      <w:r w:rsidRPr="008B7DB5">
        <w:rPr>
          <w:b/>
          <w:bCs/>
        </w:rPr>
        <w:lastRenderedPageBreak/>
        <w:t>What should we do for provisions that can be handled by using “other” blanks</w:t>
      </w:r>
      <w:r w:rsidR="00446B27">
        <w:rPr>
          <w:b/>
          <w:bCs/>
        </w:rPr>
        <w:t xml:space="preserve"> on an adoption agreement</w:t>
      </w:r>
      <w:r w:rsidRPr="008B7DB5">
        <w:rPr>
          <w:b/>
          <w:bCs/>
        </w:rPr>
        <w:t xml:space="preserve">, such as </w:t>
      </w:r>
      <w:r w:rsidR="00446B27">
        <w:rPr>
          <w:b/>
          <w:bCs/>
        </w:rPr>
        <w:t xml:space="preserve">writing in </w:t>
      </w:r>
      <w:r w:rsidRPr="008B7DB5">
        <w:rPr>
          <w:b/>
          <w:bCs/>
        </w:rPr>
        <w:t>the $7,000 cash out limit?</w:t>
      </w:r>
      <w:r w:rsidR="0062018B">
        <w:rPr>
          <w:b/>
          <w:bCs/>
        </w:rPr>
        <w:t xml:space="preserve"> </w:t>
      </w:r>
    </w:p>
    <w:p w14:paraId="4755180F" w14:textId="77777777" w:rsidR="0062018B" w:rsidRDefault="0062018B">
      <w:pPr>
        <w:rPr>
          <w:b/>
          <w:bCs/>
        </w:rPr>
      </w:pPr>
    </w:p>
    <w:p w14:paraId="48E85061" w14:textId="77777777" w:rsidR="00105246" w:rsidRDefault="00DA0835">
      <w:r>
        <w:t>Again, there</w:t>
      </w:r>
      <w:r w:rsidR="0068093B">
        <w:t xml:space="preserve"> </w:t>
      </w:r>
      <w:r w:rsidR="00446114">
        <w:t xml:space="preserve">is no need for a plan amendment for such provisions for an ongoing before the 2025 plan year.  The plan can operate in conformance with the law and amend the document later.  </w:t>
      </w:r>
    </w:p>
    <w:p w14:paraId="75E3BB2B" w14:textId="77777777" w:rsidR="00105246" w:rsidRDefault="00105246"/>
    <w:p w14:paraId="7C94758F" w14:textId="4D974466" w:rsidR="008B7DB5" w:rsidRDefault="005F1DC8">
      <w:pPr>
        <w:rPr>
          <w:b/>
          <w:bCs/>
        </w:rPr>
      </w:pPr>
      <w:r>
        <w:t xml:space="preserve">While, for example, you could </w:t>
      </w:r>
      <w:r w:rsidR="00105246">
        <w:t>fill in</w:t>
      </w:r>
      <w:r>
        <w:t xml:space="preserve"> the $7,000 limit </w:t>
      </w:r>
      <w:r w:rsidR="00B663AA">
        <w:t>using an</w:t>
      </w:r>
      <w:r w:rsidR="00BA0A9C">
        <w:t xml:space="preserve"> </w:t>
      </w:r>
      <w:r w:rsidR="00105246">
        <w:t>“other” blank</w:t>
      </w:r>
      <w:r w:rsidR="00496CB2">
        <w:t xml:space="preserve"> line</w:t>
      </w:r>
      <w:r>
        <w:t xml:space="preserve">, </w:t>
      </w:r>
      <w:r w:rsidR="00B663AA">
        <w:t>the document will continue to refer to $5,000 in a number of other places</w:t>
      </w:r>
      <w:r>
        <w:t xml:space="preserve"> and the </w:t>
      </w:r>
      <w:r w:rsidR="00B663AA">
        <w:t xml:space="preserve">SPD </w:t>
      </w:r>
      <w:r>
        <w:t>would also need to be modified.</w:t>
      </w:r>
      <w:bookmarkStart w:id="0" w:name="_Hlk146639959"/>
      <w:r>
        <w:t xml:space="preserve"> </w:t>
      </w:r>
      <w:bookmarkEnd w:id="0"/>
      <w:r w:rsidR="00BF3FA6">
        <w:t xml:space="preserve">We believe the </w:t>
      </w:r>
      <w:r w:rsidR="00B51E30">
        <w:t xml:space="preserve">best course is to </w:t>
      </w:r>
      <w:r w:rsidR="00D54EBE">
        <w:t xml:space="preserve">confine SECURE </w:t>
      </w:r>
      <w:r w:rsidR="000561D1">
        <w:t xml:space="preserve">2.0 </w:t>
      </w:r>
      <w:r w:rsidR="00D54EBE">
        <w:t xml:space="preserve">changes to a SECURE </w:t>
      </w:r>
      <w:r w:rsidR="000561D1">
        <w:t xml:space="preserve">2.0 </w:t>
      </w:r>
      <w:r w:rsidR="00D54EBE">
        <w:t>amendment</w:t>
      </w:r>
      <w:r w:rsidR="00B663AA">
        <w:t xml:space="preserve">, and to </w:t>
      </w:r>
      <w:r w:rsidR="00081641">
        <w:t>create an</w:t>
      </w:r>
      <w:r w:rsidR="00B663AA">
        <w:t xml:space="preserve"> SMM or revised SPD</w:t>
      </w:r>
      <w:r w:rsidR="00081641">
        <w:t xml:space="preserve"> that </w:t>
      </w:r>
      <w:r w:rsidR="00BF3FA6">
        <w:t>addresses</w:t>
      </w:r>
      <w:r w:rsidR="00081641">
        <w:t xml:space="preserve"> the $7,000 limit </w:t>
      </w:r>
      <w:r w:rsidR="00BF3FA6">
        <w:t>in a more comprehensive manner</w:t>
      </w:r>
      <w:r w:rsidR="00D54EBE">
        <w:t>.</w:t>
      </w:r>
    </w:p>
    <w:p w14:paraId="0DC7291F" w14:textId="77777777" w:rsidR="00941B1E" w:rsidRDefault="00941B1E" w:rsidP="008B3622">
      <w:pPr>
        <w:rPr>
          <w:b/>
          <w:bCs/>
        </w:rPr>
      </w:pPr>
    </w:p>
    <w:p w14:paraId="61EE8BEF" w14:textId="4FEC6B9A" w:rsidR="00121353" w:rsidRDefault="00121353" w:rsidP="008B3622">
      <w:pPr>
        <w:rPr>
          <w:b/>
          <w:bCs/>
        </w:rPr>
      </w:pPr>
      <w:r>
        <w:rPr>
          <w:b/>
          <w:bCs/>
        </w:rPr>
        <w:t xml:space="preserve">What about the “long-term part-time employee” provisions – is there anything we should be doing, besides keeping track of </w:t>
      </w:r>
      <w:r w:rsidR="00381AF4">
        <w:rPr>
          <w:b/>
          <w:bCs/>
        </w:rPr>
        <w:t>employees and their hours worked?</w:t>
      </w:r>
    </w:p>
    <w:p w14:paraId="6CF98D35" w14:textId="77777777" w:rsidR="00381AF4" w:rsidRDefault="00381AF4" w:rsidP="008B3622">
      <w:pPr>
        <w:rPr>
          <w:b/>
          <w:bCs/>
        </w:rPr>
      </w:pPr>
    </w:p>
    <w:p w14:paraId="6F1C0C4D" w14:textId="53EC5980" w:rsidR="00121353" w:rsidRDefault="00381AF4" w:rsidP="008B3622">
      <w:pPr>
        <w:rPr>
          <w:b/>
          <w:bCs/>
        </w:rPr>
      </w:pPr>
      <w:r>
        <w:t xml:space="preserve">We believe that plans that have safe harbor or automatic enrollment provisions need to address long-term part-time employees </w:t>
      </w:r>
      <w:r w:rsidR="00D54EBE">
        <w:t>as</w:t>
      </w:r>
      <w:r w:rsidR="00DB762B">
        <w:t xml:space="preserve"> part of the</w:t>
      </w:r>
      <w:r w:rsidR="000561D1">
        <w:t>ir annual</w:t>
      </w:r>
      <w:r w:rsidR="00DB762B">
        <w:t xml:space="preserve"> notice requirements. We are working on a supplement to the notices for those plans and we will be posting it </w:t>
      </w:r>
      <w:r w:rsidR="008075CF">
        <w:t xml:space="preserve">soon. You should attach or otherwise incorporate this information in your notices for 2024. </w:t>
      </w:r>
    </w:p>
    <w:p w14:paraId="79086FF5" w14:textId="77777777" w:rsidR="00121353" w:rsidRDefault="00121353" w:rsidP="008B3622">
      <w:pPr>
        <w:rPr>
          <w:b/>
          <w:bCs/>
        </w:rPr>
      </w:pPr>
    </w:p>
    <w:sectPr w:rsidR="0012135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B638C" w14:textId="77777777" w:rsidR="00947DA3" w:rsidRDefault="00947DA3" w:rsidP="00075D50">
      <w:r>
        <w:separator/>
      </w:r>
    </w:p>
  </w:endnote>
  <w:endnote w:type="continuationSeparator" w:id="0">
    <w:p w14:paraId="33933A42" w14:textId="77777777" w:rsidR="00947DA3" w:rsidRDefault="00947DA3" w:rsidP="0007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C91A" w14:textId="77777777" w:rsidR="00075D50" w:rsidRDefault="0007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9C17" w14:textId="37A1C3EF" w:rsidR="00075D50" w:rsidRDefault="00375B57">
    <w:pPr>
      <w:pStyle w:val="Footer"/>
    </w:pPr>
    <w:r w:rsidRPr="00B44470">
      <w:rPr>
        <w:rFonts w:ascii="Times" w:hAnsi="Times" w:cs="Times"/>
        <w:szCs w:val="20"/>
      </w:rPr>
      <w:t>© 20</w:t>
    </w:r>
    <w:r>
      <w:rPr>
        <w:rFonts w:ascii="Times" w:hAnsi="Times" w:cs="Times"/>
        <w:szCs w:val="20"/>
      </w:rPr>
      <w:t>23 FIS Capital Markets US LLC or its suppliers                                                              Rev. 11/2023</w:t>
    </w:r>
  </w:p>
  <w:p w14:paraId="5DF2E17F" w14:textId="77777777" w:rsidR="00075D50" w:rsidRDefault="0007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199F" w14:textId="77777777" w:rsidR="00075D50" w:rsidRDefault="0007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3190" w14:textId="77777777" w:rsidR="00947DA3" w:rsidRDefault="00947DA3" w:rsidP="00075D50">
      <w:r>
        <w:separator/>
      </w:r>
    </w:p>
  </w:footnote>
  <w:footnote w:type="continuationSeparator" w:id="0">
    <w:p w14:paraId="789A13AA" w14:textId="77777777" w:rsidR="00947DA3" w:rsidRDefault="00947DA3" w:rsidP="0007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AF0C" w14:textId="77777777" w:rsidR="00075D50" w:rsidRDefault="00075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8180" w14:textId="77777777" w:rsidR="00075D50" w:rsidRDefault="00075D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3978" w14:textId="77777777" w:rsidR="00075D50" w:rsidRDefault="00075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87A31"/>
    <w:multiLevelType w:val="hybridMultilevel"/>
    <w:tmpl w:val="C31EF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4400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D9AB94F-674A-4924-AB0E-1D70F84D20B9}"/>
    <w:docVar w:name="dgnword-eventsink" w:val="2721794319248"/>
  </w:docVars>
  <w:rsids>
    <w:rsidRoot w:val="005E2F09"/>
    <w:rsid w:val="000151B9"/>
    <w:rsid w:val="00053C13"/>
    <w:rsid w:val="000561D1"/>
    <w:rsid w:val="00075D50"/>
    <w:rsid w:val="00080517"/>
    <w:rsid w:val="00081641"/>
    <w:rsid w:val="000D0F29"/>
    <w:rsid w:val="00105246"/>
    <w:rsid w:val="00121353"/>
    <w:rsid w:val="001346CD"/>
    <w:rsid w:val="00145969"/>
    <w:rsid w:val="00160179"/>
    <w:rsid w:val="00186B61"/>
    <w:rsid w:val="00193DBC"/>
    <w:rsid w:val="001D08F0"/>
    <w:rsid w:val="0023201C"/>
    <w:rsid w:val="00235DAF"/>
    <w:rsid w:val="0024327A"/>
    <w:rsid w:val="00280106"/>
    <w:rsid w:val="00286C10"/>
    <w:rsid w:val="002967EB"/>
    <w:rsid w:val="002A0B5B"/>
    <w:rsid w:val="002E1DDD"/>
    <w:rsid w:val="00375B57"/>
    <w:rsid w:val="00381AF4"/>
    <w:rsid w:val="004354FA"/>
    <w:rsid w:val="00446114"/>
    <w:rsid w:val="00446B27"/>
    <w:rsid w:val="00496CB2"/>
    <w:rsid w:val="004971E0"/>
    <w:rsid w:val="004B1137"/>
    <w:rsid w:val="004C7CEE"/>
    <w:rsid w:val="00557C9D"/>
    <w:rsid w:val="005816C4"/>
    <w:rsid w:val="0059592A"/>
    <w:rsid w:val="005A76DB"/>
    <w:rsid w:val="005B3D4A"/>
    <w:rsid w:val="005C0074"/>
    <w:rsid w:val="005E2F09"/>
    <w:rsid w:val="005F1DC8"/>
    <w:rsid w:val="005F5D39"/>
    <w:rsid w:val="00613FB7"/>
    <w:rsid w:val="0062018B"/>
    <w:rsid w:val="0067055A"/>
    <w:rsid w:val="0068093B"/>
    <w:rsid w:val="00694602"/>
    <w:rsid w:val="006E61FC"/>
    <w:rsid w:val="00737217"/>
    <w:rsid w:val="00751C8E"/>
    <w:rsid w:val="0078257D"/>
    <w:rsid w:val="007850B9"/>
    <w:rsid w:val="007D5DEB"/>
    <w:rsid w:val="008075CF"/>
    <w:rsid w:val="008219D2"/>
    <w:rsid w:val="00853C76"/>
    <w:rsid w:val="008722CD"/>
    <w:rsid w:val="00880C53"/>
    <w:rsid w:val="008A787F"/>
    <w:rsid w:val="008B3622"/>
    <w:rsid w:val="008B448F"/>
    <w:rsid w:val="008B7DB5"/>
    <w:rsid w:val="008C6BBA"/>
    <w:rsid w:val="008D0541"/>
    <w:rsid w:val="008D0A7F"/>
    <w:rsid w:val="008E2E4E"/>
    <w:rsid w:val="008F22B0"/>
    <w:rsid w:val="00941B1E"/>
    <w:rsid w:val="00947DA3"/>
    <w:rsid w:val="00A65AE2"/>
    <w:rsid w:val="00A708DB"/>
    <w:rsid w:val="00AA30DA"/>
    <w:rsid w:val="00AE2D23"/>
    <w:rsid w:val="00B3206C"/>
    <w:rsid w:val="00B51E30"/>
    <w:rsid w:val="00B663AA"/>
    <w:rsid w:val="00BA0A9C"/>
    <w:rsid w:val="00BA601A"/>
    <w:rsid w:val="00BE0249"/>
    <w:rsid w:val="00BE7FBB"/>
    <w:rsid w:val="00BF3FA6"/>
    <w:rsid w:val="00C235F8"/>
    <w:rsid w:val="00C34EF1"/>
    <w:rsid w:val="00C80B78"/>
    <w:rsid w:val="00CA79DF"/>
    <w:rsid w:val="00CB107D"/>
    <w:rsid w:val="00CF38E5"/>
    <w:rsid w:val="00D04F9E"/>
    <w:rsid w:val="00D14D31"/>
    <w:rsid w:val="00D54EBE"/>
    <w:rsid w:val="00D57C99"/>
    <w:rsid w:val="00D97710"/>
    <w:rsid w:val="00DA0835"/>
    <w:rsid w:val="00DB762B"/>
    <w:rsid w:val="00DF5CC8"/>
    <w:rsid w:val="00E50B96"/>
    <w:rsid w:val="00F056F0"/>
    <w:rsid w:val="00F104E8"/>
    <w:rsid w:val="00F7755C"/>
    <w:rsid w:val="00FB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B7BA"/>
  <w15:chartTrackingRefBased/>
  <w15:docId w15:val="{5A18FE74-C264-4918-8785-C1395085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F09"/>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F09"/>
    <w:pPr>
      <w:ind w:left="720"/>
    </w:pPr>
  </w:style>
  <w:style w:type="character" w:styleId="Hyperlink">
    <w:name w:val="Hyperlink"/>
    <w:basedOn w:val="DefaultParagraphFont"/>
    <w:uiPriority w:val="99"/>
    <w:unhideWhenUsed/>
    <w:rsid w:val="002967EB"/>
    <w:rPr>
      <w:color w:val="0563C1" w:themeColor="hyperlink"/>
      <w:u w:val="single"/>
    </w:rPr>
  </w:style>
  <w:style w:type="paragraph" w:styleId="Revision">
    <w:name w:val="Revision"/>
    <w:hidden/>
    <w:uiPriority w:val="99"/>
    <w:semiHidden/>
    <w:rsid w:val="00446114"/>
    <w:pPr>
      <w:spacing w:after="0" w:line="240" w:lineRule="auto"/>
    </w:pPr>
    <w:rPr>
      <w:rFonts w:ascii="Calibri" w:hAnsi="Calibri" w:cs="Calibri"/>
      <w:kern w:val="0"/>
    </w:rPr>
  </w:style>
  <w:style w:type="paragraph" w:styleId="Header">
    <w:name w:val="header"/>
    <w:basedOn w:val="Normal"/>
    <w:link w:val="HeaderChar"/>
    <w:uiPriority w:val="99"/>
    <w:unhideWhenUsed/>
    <w:rsid w:val="00075D50"/>
    <w:pPr>
      <w:tabs>
        <w:tab w:val="center" w:pos="4680"/>
        <w:tab w:val="right" w:pos="9360"/>
      </w:tabs>
    </w:pPr>
  </w:style>
  <w:style w:type="character" w:customStyle="1" w:styleId="HeaderChar">
    <w:name w:val="Header Char"/>
    <w:basedOn w:val="DefaultParagraphFont"/>
    <w:link w:val="Header"/>
    <w:uiPriority w:val="99"/>
    <w:rsid w:val="00075D50"/>
    <w:rPr>
      <w:rFonts w:ascii="Calibri" w:hAnsi="Calibri" w:cs="Calibri"/>
      <w:kern w:val="0"/>
    </w:rPr>
  </w:style>
  <w:style w:type="paragraph" w:styleId="Footer">
    <w:name w:val="footer"/>
    <w:basedOn w:val="Normal"/>
    <w:link w:val="FooterChar"/>
    <w:uiPriority w:val="99"/>
    <w:unhideWhenUsed/>
    <w:rsid w:val="00075D50"/>
    <w:pPr>
      <w:tabs>
        <w:tab w:val="center" w:pos="4680"/>
        <w:tab w:val="right" w:pos="9360"/>
      </w:tabs>
    </w:pPr>
  </w:style>
  <w:style w:type="character" w:customStyle="1" w:styleId="FooterChar">
    <w:name w:val="Footer Char"/>
    <w:basedOn w:val="DefaultParagraphFont"/>
    <w:link w:val="Footer"/>
    <w:uiPriority w:val="99"/>
    <w:rsid w:val="00075D50"/>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7174">
      <w:bodyDiv w:val="1"/>
      <w:marLeft w:val="0"/>
      <w:marRight w:val="0"/>
      <w:marTop w:val="0"/>
      <w:marBottom w:val="0"/>
      <w:divBdr>
        <w:top w:val="none" w:sz="0" w:space="0" w:color="auto"/>
        <w:left w:val="none" w:sz="0" w:space="0" w:color="auto"/>
        <w:bottom w:val="none" w:sz="0" w:space="0" w:color="auto"/>
        <w:right w:val="none" w:sz="0" w:space="0" w:color="auto"/>
      </w:divBdr>
    </w:div>
    <w:div w:id="189905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relius.net/News/OtherResources.aspx?T=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10D69FE7D47746A80411E7C55C4D7A" ma:contentTypeVersion="18" ma:contentTypeDescription="Create a new document." ma:contentTypeScope="" ma:versionID="91bc0b0adb11fed798bc18b27991d32d">
  <xsd:schema xmlns:xsd="http://www.w3.org/2001/XMLSchema" xmlns:xs="http://www.w3.org/2001/XMLSchema" xmlns:p="http://schemas.microsoft.com/office/2006/metadata/properties" xmlns:ns1="http://schemas.microsoft.com/sharepoint/v3" xmlns:ns3="90ccea04-e406-45e7-87cd-0608d371b652" xmlns:ns4="c3ada0ed-de61-4001-b96c-1dbc47816108" targetNamespace="http://schemas.microsoft.com/office/2006/metadata/properties" ma:root="true" ma:fieldsID="f854f2078b2f7cd7013a2b11718ac615" ns1:_="" ns3:_="" ns4:_="">
    <xsd:import namespace="http://schemas.microsoft.com/sharepoint/v3"/>
    <xsd:import namespace="90ccea04-e406-45e7-87cd-0608d371b652"/>
    <xsd:import namespace="c3ada0ed-de61-4001-b96c-1dbc478161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_activity"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cea04-e406-45e7-87cd-0608d371b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da0ed-de61-4001-b96c-1dbc47816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0ccea04-e406-45e7-87cd-0608d371b652" xsi:nil="true"/>
  </documentManagement>
</p:properties>
</file>

<file path=customXml/itemProps1.xml><?xml version="1.0" encoding="utf-8"?>
<ds:datastoreItem xmlns:ds="http://schemas.openxmlformats.org/officeDocument/2006/customXml" ds:itemID="{E8AEB1F9-47E1-4CB7-B0C5-D2730D650A9E}">
  <ds:schemaRefs>
    <ds:schemaRef ds:uri="http://schemas.microsoft.com/sharepoint/v3/contenttype/forms"/>
  </ds:schemaRefs>
</ds:datastoreItem>
</file>

<file path=customXml/itemProps2.xml><?xml version="1.0" encoding="utf-8"?>
<ds:datastoreItem xmlns:ds="http://schemas.openxmlformats.org/officeDocument/2006/customXml" ds:itemID="{8DFF8414-C6E0-41C8-BECC-3FECF0731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ccea04-e406-45e7-87cd-0608d371b652"/>
    <ds:schemaRef ds:uri="c3ada0ed-de61-4001-b96c-1dbc4781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771159-57E4-4971-B3FD-3AF91767D700}">
  <ds:schemaRefs>
    <ds:schemaRef ds:uri="http://purl.org/dc/terms/"/>
    <ds:schemaRef ds:uri="http://purl.org/dc/dcmitype/"/>
    <ds:schemaRef ds:uri="c3ada0ed-de61-4001-b96c-1dbc47816108"/>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90ccea04-e406-45e7-87cd-0608d371b652"/>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Lellouche, Michele D</dc:creator>
  <cp:keywords/>
  <dc:description/>
  <cp:lastModifiedBy>McNamara, Dan</cp:lastModifiedBy>
  <cp:revision>2</cp:revision>
  <dcterms:created xsi:type="dcterms:W3CDTF">2023-11-06T17:59:00Z</dcterms:created>
  <dcterms:modified xsi:type="dcterms:W3CDTF">2023-11-06T17:59:00Z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1e58c1-766d-4ff4-9619-b604fc37898b_Enabled">
    <vt:lpwstr>true</vt:lpwstr>
  </property>
  <property fmtid="{D5CDD505-2E9C-101B-9397-08002B2CF9AE}" pid="3" name="MSIP_Label_9e1e58c1-766d-4ff4-9619-b604fc37898b_SetDate">
    <vt:lpwstr>2023-07-05T14:52:22Z</vt:lpwstr>
  </property>
  <property fmtid="{D5CDD505-2E9C-101B-9397-08002B2CF9AE}" pid="4" name="MSIP_Label_9e1e58c1-766d-4ff4-9619-b604fc37898b_Method">
    <vt:lpwstr>Standard</vt:lpwstr>
  </property>
  <property fmtid="{D5CDD505-2E9C-101B-9397-08002B2CF9AE}" pid="5" name="MSIP_Label_9e1e58c1-766d-4ff4-9619-b604fc37898b_Name">
    <vt:lpwstr>Internal Use</vt:lpwstr>
  </property>
  <property fmtid="{D5CDD505-2E9C-101B-9397-08002B2CF9AE}" pid="6" name="MSIP_Label_9e1e58c1-766d-4ff4-9619-b604fc37898b_SiteId">
    <vt:lpwstr>e3ff91d8-34c8-4b15-a0b4-18910a6ac575</vt:lpwstr>
  </property>
  <property fmtid="{D5CDD505-2E9C-101B-9397-08002B2CF9AE}" pid="7" name="MSIP_Label_9e1e58c1-766d-4ff4-9619-b604fc37898b_ActionId">
    <vt:lpwstr>fc7e7456-9d9e-4721-8e9c-cc8d19363c0f</vt:lpwstr>
  </property>
  <property fmtid="{D5CDD505-2E9C-101B-9397-08002B2CF9AE}" pid="8" name="MSIP_Label_9e1e58c1-766d-4ff4-9619-b604fc37898b_ContentBits">
    <vt:lpwstr>0</vt:lpwstr>
  </property>
  <property fmtid="{D5CDD505-2E9C-101B-9397-08002B2CF9AE}" pid="9" name="ContentTypeId">
    <vt:lpwstr>0x010100BD10D69FE7D47746A80411E7C55C4D7A</vt:lpwstr>
  </property>
</Properties>
</file>