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EAE4F" w14:textId="1B4AF89B" w:rsidR="001E7226" w:rsidRDefault="001E7226" w:rsidP="001E7226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AMENDMENT </w:t>
      </w:r>
      <w:r w:rsidR="005058AB">
        <w:rPr>
          <w:b/>
          <w:bCs/>
          <w:szCs w:val="20"/>
        </w:rPr>
        <w:t>TO IMPLEMENT DEEMED IRA</w:t>
      </w:r>
    </w:p>
    <w:p w14:paraId="4441ED22" w14:textId="77777777" w:rsidR="001E7226" w:rsidRDefault="001E7226" w:rsidP="001E7226">
      <w:pPr>
        <w:rPr>
          <w:bCs/>
          <w:szCs w:val="20"/>
        </w:rPr>
      </w:pPr>
    </w:p>
    <w:p w14:paraId="30330280" w14:textId="77777777" w:rsidR="001E7226" w:rsidRDefault="001E7226" w:rsidP="001E7226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Instructions</w:t>
      </w:r>
    </w:p>
    <w:p w14:paraId="2FF3B77A" w14:textId="77777777" w:rsidR="001E7226" w:rsidRDefault="001E7226" w:rsidP="001E7226">
      <w:pPr>
        <w:jc w:val="center"/>
        <w:rPr>
          <w:b/>
          <w:bCs/>
          <w:szCs w:val="20"/>
        </w:rPr>
      </w:pPr>
    </w:p>
    <w:p w14:paraId="09BE915A" w14:textId="66E90A13" w:rsidR="004D4D86" w:rsidRDefault="001E7226" w:rsidP="005D78B5">
      <w:pPr>
        <w:rPr>
          <w:bCs/>
          <w:iCs/>
          <w:szCs w:val="20"/>
        </w:rPr>
      </w:pPr>
      <w:r>
        <w:rPr>
          <w:bCs/>
          <w:iCs/>
          <w:szCs w:val="20"/>
        </w:rPr>
        <w:t>FIS has developed a good-faith amendment that may be used to modify a</w:t>
      </w:r>
      <w:r w:rsidR="00990248">
        <w:rPr>
          <w:bCs/>
          <w:iCs/>
          <w:szCs w:val="20"/>
        </w:rPr>
        <w:t xml:space="preserve"> </w:t>
      </w:r>
      <w:bookmarkStart w:id="0" w:name="_Hlk22915281"/>
      <w:r w:rsidR="005058AB">
        <w:rPr>
          <w:bCs/>
          <w:iCs/>
          <w:szCs w:val="20"/>
        </w:rPr>
        <w:t xml:space="preserve">defined contribution plan to add a deemed IRA </w:t>
      </w:r>
      <w:r w:rsidR="004D4D86">
        <w:rPr>
          <w:bCs/>
          <w:iCs/>
          <w:szCs w:val="20"/>
        </w:rPr>
        <w:t xml:space="preserve">feature described in Code §408.  </w:t>
      </w:r>
      <w:r w:rsidR="00EF15CE">
        <w:rPr>
          <w:bCs/>
          <w:iCs/>
          <w:szCs w:val="20"/>
        </w:rPr>
        <w:t>It is primarily designed</w:t>
      </w:r>
      <w:r w:rsidR="008627DC">
        <w:rPr>
          <w:bCs/>
          <w:iCs/>
          <w:szCs w:val="20"/>
        </w:rPr>
        <w:t xml:space="preserve"> for use with governmental 457(b) plans and with 403(b) plans.</w:t>
      </w:r>
      <w:r w:rsidR="00782A9A">
        <w:rPr>
          <w:bCs/>
          <w:iCs/>
          <w:szCs w:val="20"/>
        </w:rPr>
        <w:t xml:space="preserve"> It can also be used with qualified plans, although its use there </w:t>
      </w:r>
      <w:r w:rsidR="00256BC6">
        <w:rPr>
          <w:bCs/>
          <w:iCs/>
          <w:szCs w:val="20"/>
        </w:rPr>
        <w:t xml:space="preserve">may </w:t>
      </w:r>
      <w:r w:rsidR="00782A9A">
        <w:rPr>
          <w:bCs/>
          <w:iCs/>
          <w:szCs w:val="20"/>
        </w:rPr>
        <w:t xml:space="preserve">impact reliance on </w:t>
      </w:r>
      <w:r w:rsidR="00256BC6">
        <w:rPr>
          <w:bCs/>
          <w:iCs/>
          <w:szCs w:val="20"/>
        </w:rPr>
        <w:t>the</w:t>
      </w:r>
      <w:r w:rsidR="00782A9A">
        <w:rPr>
          <w:bCs/>
          <w:iCs/>
          <w:szCs w:val="20"/>
        </w:rPr>
        <w:t xml:space="preserve"> plan</w:t>
      </w:r>
      <w:r w:rsidR="008E0545">
        <w:rPr>
          <w:bCs/>
          <w:iCs/>
          <w:szCs w:val="20"/>
        </w:rPr>
        <w:t>’</w:t>
      </w:r>
      <w:r w:rsidR="00782A9A">
        <w:rPr>
          <w:bCs/>
          <w:iCs/>
          <w:szCs w:val="20"/>
        </w:rPr>
        <w:t>s opinion letter</w:t>
      </w:r>
      <w:r w:rsidR="00256BC6">
        <w:rPr>
          <w:bCs/>
          <w:iCs/>
          <w:szCs w:val="20"/>
        </w:rPr>
        <w:t xml:space="preserve"> as described below.</w:t>
      </w:r>
    </w:p>
    <w:p w14:paraId="15347BA2" w14:textId="0B7F9559" w:rsidR="008E0545" w:rsidRDefault="008E0545" w:rsidP="005D78B5">
      <w:pPr>
        <w:rPr>
          <w:bCs/>
          <w:iCs/>
          <w:szCs w:val="20"/>
        </w:rPr>
      </w:pPr>
    </w:p>
    <w:p w14:paraId="38913EF7" w14:textId="3E3FE3CD" w:rsidR="008E0545" w:rsidRDefault="008E0545" w:rsidP="005D78B5">
      <w:pPr>
        <w:rPr>
          <w:bCs/>
          <w:iCs/>
          <w:szCs w:val="20"/>
        </w:rPr>
      </w:pPr>
      <w:r>
        <w:rPr>
          <w:b/>
          <w:bCs/>
          <w:iCs/>
          <w:szCs w:val="20"/>
        </w:rPr>
        <w:t>What is a deemed IRA?</w:t>
      </w:r>
    </w:p>
    <w:p w14:paraId="34130950" w14:textId="595913BC" w:rsidR="008E0545" w:rsidRDefault="008E0545" w:rsidP="005D78B5">
      <w:pPr>
        <w:rPr>
          <w:bCs/>
          <w:iCs/>
          <w:szCs w:val="20"/>
        </w:rPr>
      </w:pPr>
    </w:p>
    <w:p w14:paraId="4956ECB0" w14:textId="232D1FFC" w:rsidR="008E0545" w:rsidRDefault="00925AB3" w:rsidP="005D78B5">
      <w:pPr>
        <w:rPr>
          <w:bCs/>
          <w:iCs/>
          <w:szCs w:val="20"/>
        </w:rPr>
      </w:pPr>
      <w:r>
        <w:rPr>
          <w:bCs/>
          <w:iCs/>
          <w:szCs w:val="20"/>
        </w:rPr>
        <w:t>A deemed IRA is a separate account maintained in a retirement plan into which a participant</w:t>
      </w:r>
      <w:r w:rsidR="001719AE">
        <w:rPr>
          <w:bCs/>
          <w:iCs/>
          <w:szCs w:val="20"/>
        </w:rPr>
        <w:t xml:space="preserve"> may </w:t>
      </w:r>
      <w:r w:rsidR="00723F45">
        <w:rPr>
          <w:bCs/>
          <w:iCs/>
          <w:szCs w:val="20"/>
        </w:rPr>
        <w:t>contribute</w:t>
      </w:r>
      <w:r w:rsidR="001719AE">
        <w:rPr>
          <w:bCs/>
          <w:iCs/>
          <w:szCs w:val="20"/>
        </w:rPr>
        <w:t xml:space="preserve"> </w:t>
      </w:r>
      <w:r w:rsidR="004F7583">
        <w:rPr>
          <w:bCs/>
          <w:iCs/>
          <w:szCs w:val="20"/>
        </w:rPr>
        <w:t>regular IRA contributions. Deemed IRAs can hold a traditional IRA contribution</w:t>
      </w:r>
      <w:r w:rsidR="00BB79A7">
        <w:rPr>
          <w:bCs/>
          <w:iCs/>
          <w:szCs w:val="20"/>
        </w:rPr>
        <w:t xml:space="preserve"> or a Roth IRA</w:t>
      </w:r>
      <w:r w:rsidR="008B1876">
        <w:rPr>
          <w:bCs/>
          <w:iCs/>
          <w:szCs w:val="20"/>
        </w:rPr>
        <w:t xml:space="preserve"> contribution. Deemed IRAs follow all IRA rule</w:t>
      </w:r>
      <w:r w:rsidR="00C27AD5">
        <w:rPr>
          <w:bCs/>
          <w:iCs/>
          <w:szCs w:val="20"/>
        </w:rPr>
        <w:t>s</w:t>
      </w:r>
      <w:r w:rsidR="004D1ECA">
        <w:rPr>
          <w:bCs/>
          <w:iCs/>
          <w:szCs w:val="20"/>
        </w:rPr>
        <w:t>. They are not subject to any of the rules which normally apply to retirement</w:t>
      </w:r>
      <w:r w:rsidR="00C27AD5">
        <w:rPr>
          <w:bCs/>
          <w:iCs/>
          <w:szCs w:val="20"/>
        </w:rPr>
        <w:t xml:space="preserve"> plan</w:t>
      </w:r>
      <w:r w:rsidR="001719AE">
        <w:rPr>
          <w:bCs/>
          <w:iCs/>
          <w:szCs w:val="20"/>
        </w:rPr>
        <w:t>s</w:t>
      </w:r>
      <w:r w:rsidR="004D1ECA">
        <w:rPr>
          <w:bCs/>
          <w:iCs/>
          <w:szCs w:val="20"/>
        </w:rPr>
        <w:t>. For example, the deemed IRA is not</w:t>
      </w:r>
      <w:r w:rsidR="001719AE">
        <w:rPr>
          <w:bCs/>
          <w:iCs/>
          <w:szCs w:val="20"/>
        </w:rPr>
        <w:t xml:space="preserve"> considered</w:t>
      </w:r>
      <w:r w:rsidR="004D1ECA">
        <w:rPr>
          <w:bCs/>
          <w:iCs/>
          <w:szCs w:val="20"/>
        </w:rPr>
        <w:t xml:space="preserve"> an annual addition for purposes of section</w:t>
      </w:r>
      <w:r w:rsidR="00D801A2">
        <w:rPr>
          <w:bCs/>
          <w:iCs/>
          <w:szCs w:val="20"/>
        </w:rPr>
        <w:t xml:space="preserve"> 415</w:t>
      </w:r>
      <w:r w:rsidR="005A0FCD">
        <w:rPr>
          <w:bCs/>
          <w:iCs/>
          <w:szCs w:val="20"/>
        </w:rPr>
        <w:t>, and it is not subject to the ADP or ACP test. It does not impact a participant’s 40</w:t>
      </w:r>
      <w:r w:rsidR="007F4C4D">
        <w:rPr>
          <w:bCs/>
          <w:iCs/>
          <w:szCs w:val="20"/>
        </w:rPr>
        <w:t>2(g)</w:t>
      </w:r>
      <w:r w:rsidR="005A0FCD">
        <w:rPr>
          <w:bCs/>
          <w:iCs/>
          <w:szCs w:val="20"/>
        </w:rPr>
        <w:t xml:space="preserve"> limit.</w:t>
      </w:r>
      <w:r w:rsidR="00D801A2">
        <w:rPr>
          <w:bCs/>
          <w:iCs/>
          <w:szCs w:val="20"/>
        </w:rPr>
        <w:t xml:space="preserve"> </w:t>
      </w:r>
    </w:p>
    <w:p w14:paraId="0ECD3538" w14:textId="717F669B" w:rsidR="00482C94" w:rsidRDefault="00482C94" w:rsidP="005D78B5">
      <w:pPr>
        <w:rPr>
          <w:bCs/>
          <w:iCs/>
          <w:szCs w:val="20"/>
        </w:rPr>
      </w:pPr>
    </w:p>
    <w:p w14:paraId="3F902A2A" w14:textId="0965E978" w:rsidR="00482C94" w:rsidRPr="008E0545" w:rsidRDefault="00CC7EA6" w:rsidP="005D78B5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Among the rules to which </w:t>
      </w:r>
      <w:r w:rsidR="007F4C4D">
        <w:rPr>
          <w:bCs/>
          <w:iCs/>
          <w:szCs w:val="20"/>
        </w:rPr>
        <w:t>t</w:t>
      </w:r>
      <w:r>
        <w:rPr>
          <w:bCs/>
          <w:iCs/>
          <w:szCs w:val="20"/>
        </w:rPr>
        <w:t>he deemed IRA is subject is the requirement</w:t>
      </w:r>
      <w:r w:rsidR="00DB4960">
        <w:rPr>
          <w:bCs/>
          <w:iCs/>
          <w:szCs w:val="20"/>
        </w:rPr>
        <w:t xml:space="preserve"> </w:t>
      </w:r>
      <w:r w:rsidR="009653E0">
        <w:rPr>
          <w:bCs/>
          <w:iCs/>
          <w:szCs w:val="20"/>
        </w:rPr>
        <w:t xml:space="preserve">that </w:t>
      </w:r>
      <w:r w:rsidR="00723F45">
        <w:rPr>
          <w:bCs/>
          <w:iCs/>
          <w:szCs w:val="20"/>
        </w:rPr>
        <w:t xml:space="preserve"> </w:t>
      </w:r>
      <w:r w:rsidR="00795AC4">
        <w:rPr>
          <w:bCs/>
          <w:iCs/>
          <w:szCs w:val="20"/>
        </w:rPr>
        <w:t>there is</w:t>
      </w:r>
      <w:r w:rsidR="009653E0">
        <w:rPr>
          <w:bCs/>
          <w:iCs/>
          <w:szCs w:val="20"/>
        </w:rPr>
        <w:t xml:space="preserve"> a bank trustee, or another trustee that could be an IRA custodian. This may require a separate trustee</w:t>
      </w:r>
      <w:r w:rsidR="006131FA">
        <w:rPr>
          <w:bCs/>
          <w:iCs/>
          <w:szCs w:val="20"/>
        </w:rPr>
        <w:t xml:space="preserve"> depending on the arrangement involved. Particularly for a 403(b) plan, which does not normally have a trustee,</w:t>
      </w:r>
      <w:r w:rsidR="005B55F2">
        <w:rPr>
          <w:bCs/>
          <w:iCs/>
          <w:szCs w:val="20"/>
        </w:rPr>
        <w:t xml:space="preserve"> this will </w:t>
      </w:r>
      <w:r w:rsidR="00795AC4">
        <w:rPr>
          <w:bCs/>
          <w:iCs/>
          <w:szCs w:val="20"/>
        </w:rPr>
        <w:t xml:space="preserve">require </w:t>
      </w:r>
      <w:r w:rsidR="005B55F2">
        <w:rPr>
          <w:bCs/>
          <w:iCs/>
          <w:szCs w:val="20"/>
        </w:rPr>
        <w:t>a separate trust document which is not included with this amendment.</w:t>
      </w:r>
      <w:r w:rsidR="0035755E">
        <w:rPr>
          <w:bCs/>
          <w:iCs/>
          <w:szCs w:val="20"/>
        </w:rPr>
        <w:t xml:space="preserve"> Deemed IRA funds must be held in separate recordkeeping accounts.</w:t>
      </w:r>
    </w:p>
    <w:p w14:paraId="4BD6A90C" w14:textId="50CF6D41" w:rsidR="001E7226" w:rsidRDefault="001E7226" w:rsidP="001E7226">
      <w:pPr>
        <w:rPr>
          <w:bCs/>
          <w:iCs/>
          <w:szCs w:val="20"/>
        </w:rPr>
      </w:pPr>
    </w:p>
    <w:p w14:paraId="409F3FAA" w14:textId="5738BA01" w:rsidR="005D78B5" w:rsidRDefault="005D78B5" w:rsidP="001E7226">
      <w:pPr>
        <w:rPr>
          <w:b/>
          <w:iCs/>
          <w:szCs w:val="20"/>
        </w:rPr>
      </w:pPr>
      <w:r>
        <w:rPr>
          <w:b/>
          <w:iCs/>
          <w:szCs w:val="20"/>
        </w:rPr>
        <w:t>Is it mandatory to adopt this amendment?</w:t>
      </w:r>
    </w:p>
    <w:p w14:paraId="3644A3F6" w14:textId="0252E7EB" w:rsidR="005D78B5" w:rsidRDefault="005D78B5" w:rsidP="001E7226">
      <w:pPr>
        <w:rPr>
          <w:b/>
          <w:iCs/>
          <w:szCs w:val="20"/>
        </w:rPr>
      </w:pPr>
    </w:p>
    <w:p w14:paraId="4197C3CA" w14:textId="150FE548" w:rsidR="005D78B5" w:rsidRDefault="005D78B5" w:rsidP="001E7226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No.  This is an optional provision.  </w:t>
      </w:r>
    </w:p>
    <w:p w14:paraId="1DDBA62B" w14:textId="0E827D24" w:rsidR="005D78B5" w:rsidRDefault="005D78B5" w:rsidP="001E7226">
      <w:pPr>
        <w:rPr>
          <w:bCs/>
          <w:iCs/>
          <w:szCs w:val="20"/>
        </w:rPr>
      </w:pPr>
    </w:p>
    <w:p w14:paraId="3F07866D" w14:textId="57560D7F" w:rsidR="005D78B5" w:rsidRDefault="005D78B5" w:rsidP="001E7226">
      <w:pPr>
        <w:rPr>
          <w:b/>
          <w:iCs/>
          <w:szCs w:val="20"/>
        </w:rPr>
      </w:pPr>
      <w:r>
        <w:rPr>
          <w:b/>
          <w:iCs/>
          <w:szCs w:val="20"/>
        </w:rPr>
        <w:t>What plans can adopt this amendment?</w:t>
      </w:r>
    </w:p>
    <w:p w14:paraId="1B509C54" w14:textId="7E89F829" w:rsidR="005D78B5" w:rsidRDefault="005D78B5" w:rsidP="001E7226">
      <w:pPr>
        <w:rPr>
          <w:b/>
          <w:iCs/>
          <w:szCs w:val="20"/>
        </w:rPr>
      </w:pPr>
    </w:p>
    <w:p w14:paraId="0E023F33" w14:textId="02FE4687" w:rsidR="005D78B5" w:rsidRDefault="004742C2" w:rsidP="001E7226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Qualified defined contribution plans, </w:t>
      </w:r>
      <w:r w:rsidR="00715DFD">
        <w:rPr>
          <w:bCs/>
          <w:iCs/>
          <w:szCs w:val="20"/>
        </w:rPr>
        <w:t xml:space="preserve">403(b) plans, </w:t>
      </w:r>
      <w:r w:rsidR="005D78B5">
        <w:rPr>
          <w:bCs/>
          <w:iCs/>
          <w:szCs w:val="20"/>
        </w:rPr>
        <w:t xml:space="preserve">and governmental 457(b) plans can adopt this amendment.  </w:t>
      </w:r>
    </w:p>
    <w:p w14:paraId="2737C29A" w14:textId="21315547" w:rsidR="005D78B5" w:rsidRDefault="005D78B5" w:rsidP="001E7226">
      <w:pPr>
        <w:rPr>
          <w:bCs/>
          <w:iCs/>
          <w:szCs w:val="20"/>
        </w:rPr>
      </w:pPr>
    </w:p>
    <w:p w14:paraId="68DE1E6C" w14:textId="19E11194" w:rsidR="005D78B5" w:rsidRDefault="00C04268" w:rsidP="001E7226">
      <w:pPr>
        <w:rPr>
          <w:b/>
          <w:iCs/>
          <w:szCs w:val="20"/>
        </w:rPr>
      </w:pPr>
      <w:r>
        <w:rPr>
          <w:b/>
          <w:iCs/>
          <w:szCs w:val="20"/>
        </w:rPr>
        <w:t xml:space="preserve">Will use of this amendment adversely impact reliance </w:t>
      </w:r>
      <w:r w:rsidR="002F7E12">
        <w:rPr>
          <w:b/>
          <w:iCs/>
          <w:szCs w:val="20"/>
        </w:rPr>
        <w:t>on the plan document?</w:t>
      </w:r>
    </w:p>
    <w:p w14:paraId="41A7FF3D" w14:textId="021FF940" w:rsidR="00E67E87" w:rsidRDefault="00E67E87" w:rsidP="001E7226">
      <w:pPr>
        <w:rPr>
          <w:iCs/>
          <w:szCs w:val="20"/>
        </w:rPr>
      </w:pPr>
    </w:p>
    <w:p w14:paraId="1FA9CCD7" w14:textId="52B5A431" w:rsidR="00763CE8" w:rsidRDefault="00763CE8" w:rsidP="001E7226">
      <w:pPr>
        <w:rPr>
          <w:iCs/>
          <w:szCs w:val="20"/>
        </w:rPr>
      </w:pPr>
      <w:r>
        <w:rPr>
          <w:iCs/>
          <w:szCs w:val="20"/>
        </w:rPr>
        <w:t>That depends on the specific document:</w:t>
      </w:r>
    </w:p>
    <w:p w14:paraId="1D68BD53" w14:textId="5633E49B" w:rsidR="00763CE8" w:rsidRDefault="00763CE8" w:rsidP="001E7226">
      <w:pPr>
        <w:rPr>
          <w:iCs/>
          <w:szCs w:val="20"/>
        </w:rPr>
      </w:pPr>
    </w:p>
    <w:p w14:paraId="2EC9AFED" w14:textId="77777777" w:rsidR="00B2021C" w:rsidRDefault="009178D6" w:rsidP="00763CE8">
      <w:pPr>
        <w:pStyle w:val="ListParagraph"/>
        <w:numPr>
          <w:ilvl w:val="0"/>
          <w:numId w:val="2"/>
        </w:numPr>
        <w:rPr>
          <w:iCs/>
          <w:szCs w:val="20"/>
        </w:rPr>
      </w:pPr>
      <w:r w:rsidRPr="002F7E12">
        <w:rPr>
          <w:b/>
          <w:bCs/>
          <w:iCs/>
          <w:szCs w:val="20"/>
        </w:rPr>
        <w:t>457(b) plans</w:t>
      </w:r>
      <w:r>
        <w:rPr>
          <w:iCs/>
          <w:szCs w:val="20"/>
        </w:rPr>
        <w:t xml:space="preserve"> do not have IRS reliance because there is no process to obtain an opinion letter for these plans</w:t>
      </w:r>
      <w:r w:rsidR="007E1502">
        <w:rPr>
          <w:iCs/>
          <w:szCs w:val="20"/>
        </w:rPr>
        <w:t>. Adopting this amendment for governmental 457(b) plans will not adversely impact</w:t>
      </w:r>
      <w:r w:rsidR="00B2021C">
        <w:rPr>
          <w:iCs/>
          <w:szCs w:val="20"/>
        </w:rPr>
        <w:t xml:space="preserve"> those plans.</w:t>
      </w:r>
    </w:p>
    <w:p w14:paraId="0AB3A5AF" w14:textId="0B0D68CD" w:rsidR="00462C0D" w:rsidRDefault="0030044F" w:rsidP="001E7226">
      <w:pPr>
        <w:pStyle w:val="ListParagraph"/>
        <w:numPr>
          <w:ilvl w:val="0"/>
          <w:numId w:val="2"/>
        </w:numPr>
        <w:rPr>
          <w:iCs/>
          <w:szCs w:val="20"/>
        </w:rPr>
      </w:pPr>
      <w:r>
        <w:rPr>
          <w:iCs/>
          <w:szCs w:val="20"/>
        </w:rPr>
        <w:t>The F</w:t>
      </w:r>
      <w:r w:rsidR="002F7E12">
        <w:rPr>
          <w:iCs/>
          <w:szCs w:val="20"/>
        </w:rPr>
        <w:t>I</w:t>
      </w:r>
      <w:r>
        <w:rPr>
          <w:iCs/>
          <w:szCs w:val="20"/>
        </w:rPr>
        <w:t xml:space="preserve">S </w:t>
      </w:r>
      <w:r w:rsidRPr="002F7E12">
        <w:rPr>
          <w:b/>
          <w:bCs/>
          <w:iCs/>
          <w:szCs w:val="20"/>
        </w:rPr>
        <w:t>403(b) plan</w:t>
      </w:r>
      <w:r w:rsidR="004B126A">
        <w:rPr>
          <w:iCs/>
          <w:szCs w:val="20"/>
        </w:rPr>
        <w:t xml:space="preserve"> is a volume submitter plan. Under Revenue Procedure 2013-22, an employer can adopt this amendment</w:t>
      </w:r>
      <w:r w:rsidR="00056A90">
        <w:rPr>
          <w:iCs/>
          <w:szCs w:val="20"/>
        </w:rPr>
        <w:t xml:space="preserve"> without adversely impacting reliance on the plan’s advisory letter. However, the amendment as such has not been submitted to or approved by the IRS,</w:t>
      </w:r>
      <w:r w:rsidR="00462C0D">
        <w:rPr>
          <w:iCs/>
          <w:szCs w:val="20"/>
        </w:rPr>
        <w:t xml:space="preserve"> and there is no reliance on the amendment.</w:t>
      </w:r>
    </w:p>
    <w:p w14:paraId="0D387409" w14:textId="3ACF0FB4" w:rsidR="00E67E87" w:rsidRDefault="00E67E87" w:rsidP="001E7226">
      <w:pPr>
        <w:pStyle w:val="ListParagraph"/>
        <w:numPr>
          <w:ilvl w:val="0"/>
          <w:numId w:val="2"/>
        </w:numPr>
        <w:rPr>
          <w:iCs/>
          <w:szCs w:val="20"/>
        </w:rPr>
      </w:pPr>
      <w:r w:rsidRPr="00462C0D">
        <w:rPr>
          <w:iCs/>
          <w:szCs w:val="20"/>
        </w:rPr>
        <w:t>Deemed IRA contr</w:t>
      </w:r>
      <w:r w:rsidR="00C7359D" w:rsidRPr="00462C0D">
        <w:rPr>
          <w:iCs/>
          <w:szCs w:val="20"/>
        </w:rPr>
        <w:t>ibution</w:t>
      </w:r>
      <w:r w:rsidR="004D03F7">
        <w:rPr>
          <w:iCs/>
          <w:szCs w:val="20"/>
        </w:rPr>
        <w:t>s</w:t>
      </w:r>
      <w:r w:rsidRPr="00462C0D">
        <w:rPr>
          <w:iCs/>
          <w:szCs w:val="20"/>
        </w:rPr>
        <w:t xml:space="preserve"> are already available</w:t>
      </w:r>
      <w:r w:rsidR="000E1598" w:rsidRPr="00462C0D">
        <w:rPr>
          <w:iCs/>
          <w:szCs w:val="20"/>
        </w:rPr>
        <w:t xml:space="preserve"> in the </w:t>
      </w:r>
      <w:r w:rsidR="000E1598" w:rsidRPr="002F7E12">
        <w:rPr>
          <w:b/>
          <w:bCs/>
          <w:iCs/>
          <w:szCs w:val="20"/>
        </w:rPr>
        <w:t>PPD document</w:t>
      </w:r>
      <w:r w:rsidR="000E1598" w:rsidRPr="00462C0D">
        <w:rPr>
          <w:iCs/>
          <w:szCs w:val="20"/>
        </w:rPr>
        <w:t xml:space="preserve"> from FIS. The document refers to them as </w:t>
      </w:r>
      <w:r w:rsidR="00B51E4F">
        <w:rPr>
          <w:iCs/>
          <w:szCs w:val="20"/>
        </w:rPr>
        <w:t>“</w:t>
      </w:r>
      <w:r w:rsidR="000E1598" w:rsidRPr="00462C0D">
        <w:rPr>
          <w:iCs/>
          <w:szCs w:val="20"/>
        </w:rPr>
        <w:t>designated IRA contributions.</w:t>
      </w:r>
      <w:r w:rsidR="00B51E4F">
        <w:rPr>
          <w:iCs/>
          <w:szCs w:val="20"/>
        </w:rPr>
        <w:t>”</w:t>
      </w:r>
      <w:r w:rsidR="0039518F" w:rsidRPr="00462C0D">
        <w:rPr>
          <w:iCs/>
          <w:szCs w:val="20"/>
        </w:rPr>
        <w:t xml:space="preserve"> The plan</w:t>
      </w:r>
      <w:r w:rsidR="00A44266" w:rsidRPr="00462C0D">
        <w:rPr>
          <w:iCs/>
          <w:szCs w:val="20"/>
        </w:rPr>
        <w:t xml:space="preserve"> provisions </w:t>
      </w:r>
      <w:r w:rsidR="0039518F" w:rsidRPr="00462C0D">
        <w:rPr>
          <w:iCs/>
          <w:szCs w:val="20"/>
        </w:rPr>
        <w:t xml:space="preserve">are in section 3.12 of the cycle 3 </w:t>
      </w:r>
      <w:r w:rsidR="00A070F9" w:rsidRPr="00462C0D">
        <w:rPr>
          <w:iCs/>
          <w:szCs w:val="20"/>
        </w:rPr>
        <w:t xml:space="preserve">document and closely mirror the provisions of this amendment. </w:t>
      </w:r>
      <w:r w:rsidR="000E4FB7" w:rsidRPr="00462C0D">
        <w:rPr>
          <w:iCs/>
          <w:szCs w:val="20"/>
        </w:rPr>
        <w:t>Elections 6(h) and 36</w:t>
      </w:r>
      <w:r w:rsidR="0004449E" w:rsidRPr="00462C0D">
        <w:rPr>
          <w:iCs/>
          <w:szCs w:val="20"/>
        </w:rPr>
        <w:t xml:space="preserve"> should be used to activate these features. There is</w:t>
      </w:r>
      <w:r w:rsidR="006F315F" w:rsidRPr="00462C0D">
        <w:rPr>
          <w:iCs/>
          <w:szCs w:val="20"/>
        </w:rPr>
        <w:t xml:space="preserve"> no need for employers using the PPD document to </w:t>
      </w:r>
      <w:r w:rsidR="0004449E" w:rsidRPr="00462C0D">
        <w:rPr>
          <w:iCs/>
          <w:szCs w:val="20"/>
        </w:rPr>
        <w:t>adopt this</w:t>
      </w:r>
      <w:r w:rsidR="006F315F" w:rsidRPr="00462C0D">
        <w:rPr>
          <w:iCs/>
          <w:szCs w:val="20"/>
        </w:rPr>
        <w:t xml:space="preserve"> amendment.</w:t>
      </w:r>
    </w:p>
    <w:p w14:paraId="625C4BF6" w14:textId="2505A5C7" w:rsidR="00462C0D" w:rsidRPr="00462C0D" w:rsidRDefault="00872220" w:rsidP="001E7226">
      <w:pPr>
        <w:pStyle w:val="ListParagraph"/>
        <w:numPr>
          <w:ilvl w:val="0"/>
          <w:numId w:val="2"/>
        </w:numPr>
        <w:rPr>
          <w:iCs/>
          <w:szCs w:val="20"/>
        </w:rPr>
      </w:pPr>
      <w:r>
        <w:rPr>
          <w:iCs/>
          <w:szCs w:val="20"/>
        </w:rPr>
        <w:t>Adoption of this amendment by an</w:t>
      </w:r>
      <w:r w:rsidR="00746DF6">
        <w:rPr>
          <w:iCs/>
          <w:szCs w:val="20"/>
        </w:rPr>
        <w:t xml:space="preserve">other FIS defined contribution plan, such as the </w:t>
      </w:r>
      <w:r w:rsidR="00746DF6" w:rsidRPr="00B51E4F">
        <w:rPr>
          <w:b/>
          <w:bCs/>
          <w:iCs/>
          <w:szCs w:val="20"/>
        </w:rPr>
        <w:t>Corbel</w:t>
      </w:r>
      <w:r w:rsidR="00746DF6">
        <w:rPr>
          <w:iCs/>
          <w:szCs w:val="20"/>
        </w:rPr>
        <w:t xml:space="preserve"> document </w:t>
      </w:r>
      <w:r w:rsidR="00C62819">
        <w:rPr>
          <w:iCs/>
          <w:szCs w:val="20"/>
        </w:rPr>
        <w:t>will cause the</w:t>
      </w:r>
      <w:r w:rsidR="004C3975">
        <w:rPr>
          <w:iCs/>
          <w:szCs w:val="20"/>
        </w:rPr>
        <w:t xml:space="preserve"> plan</w:t>
      </w:r>
      <w:r w:rsidR="007950DB">
        <w:rPr>
          <w:iCs/>
          <w:szCs w:val="20"/>
        </w:rPr>
        <w:t xml:space="preserve"> to lose reliance. We strongly recommend</w:t>
      </w:r>
      <w:r w:rsidR="00F46B33">
        <w:rPr>
          <w:iCs/>
          <w:szCs w:val="20"/>
        </w:rPr>
        <w:t xml:space="preserve"> that the employer submit the </w:t>
      </w:r>
      <w:r w:rsidR="00C62819">
        <w:rPr>
          <w:iCs/>
          <w:szCs w:val="20"/>
        </w:rPr>
        <w:t xml:space="preserve">plan with the </w:t>
      </w:r>
      <w:r w:rsidR="00F46B33">
        <w:rPr>
          <w:iCs/>
          <w:szCs w:val="20"/>
        </w:rPr>
        <w:t xml:space="preserve">amendment to the IRS with </w:t>
      </w:r>
      <w:r w:rsidR="00C62819">
        <w:rPr>
          <w:iCs/>
          <w:szCs w:val="20"/>
        </w:rPr>
        <w:t>F</w:t>
      </w:r>
      <w:r w:rsidR="00F46B33">
        <w:rPr>
          <w:iCs/>
          <w:szCs w:val="20"/>
        </w:rPr>
        <w:t>orm 5307</w:t>
      </w:r>
      <w:r w:rsidR="008F773B">
        <w:rPr>
          <w:iCs/>
          <w:szCs w:val="20"/>
        </w:rPr>
        <w:t xml:space="preserve"> </w:t>
      </w:r>
      <w:r w:rsidR="00C62819">
        <w:rPr>
          <w:iCs/>
          <w:szCs w:val="20"/>
        </w:rPr>
        <w:t xml:space="preserve">for a determination letter </w:t>
      </w:r>
      <w:r w:rsidR="008F773B">
        <w:rPr>
          <w:iCs/>
          <w:szCs w:val="20"/>
        </w:rPr>
        <w:t>prior to the restatement</w:t>
      </w:r>
      <w:r w:rsidR="00C62819">
        <w:rPr>
          <w:iCs/>
          <w:szCs w:val="20"/>
        </w:rPr>
        <w:t xml:space="preserve"> period e</w:t>
      </w:r>
      <w:r w:rsidR="008F773B">
        <w:rPr>
          <w:iCs/>
          <w:szCs w:val="20"/>
        </w:rPr>
        <w:t>nding July 31, 2022.</w:t>
      </w:r>
      <w:r w:rsidR="00782896">
        <w:rPr>
          <w:iCs/>
          <w:szCs w:val="20"/>
        </w:rPr>
        <w:t xml:space="preserve"> Note that we plan to incorporate these provisions into the cycle </w:t>
      </w:r>
      <w:r w:rsidR="00F254CA">
        <w:rPr>
          <w:iCs/>
          <w:szCs w:val="20"/>
        </w:rPr>
        <w:t>4</w:t>
      </w:r>
      <w:r w:rsidR="00782896">
        <w:rPr>
          <w:iCs/>
          <w:szCs w:val="20"/>
        </w:rPr>
        <w:t xml:space="preserve"> version of our preapproved document.</w:t>
      </w:r>
    </w:p>
    <w:p w14:paraId="30FB89B8" w14:textId="77777777" w:rsidR="005D78B5" w:rsidRPr="005D78B5" w:rsidRDefault="005D78B5" w:rsidP="001E7226">
      <w:pPr>
        <w:rPr>
          <w:bCs/>
          <w:iCs/>
          <w:szCs w:val="20"/>
        </w:rPr>
      </w:pPr>
    </w:p>
    <w:p w14:paraId="05200702" w14:textId="03CE70AD" w:rsidR="001E7226" w:rsidRDefault="001E7226" w:rsidP="001E7226">
      <w:pPr>
        <w:rPr>
          <w:b/>
          <w:szCs w:val="20"/>
        </w:rPr>
      </w:pPr>
      <w:r>
        <w:rPr>
          <w:b/>
          <w:szCs w:val="20"/>
        </w:rPr>
        <w:t>When must plans be amended?</w:t>
      </w:r>
    </w:p>
    <w:p w14:paraId="21C55F16" w14:textId="2BDD9859" w:rsidR="00BD7595" w:rsidRDefault="00BD7595" w:rsidP="001E7226">
      <w:pPr>
        <w:rPr>
          <w:b/>
          <w:szCs w:val="20"/>
        </w:rPr>
      </w:pPr>
    </w:p>
    <w:p w14:paraId="6F2A6180" w14:textId="0E3ABDDA" w:rsidR="00BD7595" w:rsidRPr="00BD7595" w:rsidRDefault="00BD7595" w:rsidP="001E7226">
      <w:pPr>
        <w:rPr>
          <w:iCs/>
          <w:szCs w:val="20"/>
        </w:rPr>
      </w:pPr>
      <w:r w:rsidRPr="00BD7595">
        <w:rPr>
          <w:iCs/>
          <w:szCs w:val="20"/>
        </w:rPr>
        <w:t>The employer should adopt this amendment before receiving deemed IRA contributions.</w:t>
      </w:r>
    </w:p>
    <w:p w14:paraId="5D8B2475" w14:textId="77777777" w:rsidR="001E7226" w:rsidRDefault="001E7226" w:rsidP="001E7226">
      <w:pPr>
        <w:ind w:firstLine="720"/>
        <w:rPr>
          <w:bCs/>
          <w:iCs/>
          <w:szCs w:val="20"/>
        </w:rPr>
      </w:pPr>
    </w:p>
    <w:bookmarkEnd w:id="0"/>
    <w:p w14:paraId="3E028794" w14:textId="77777777" w:rsidR="001E7226" w:rsidRDefault="001E7226" w:rsidP="001E7226">
      <w:pPr>
        <w:widowControl/>
        <w:adjustRightInd w:val="0"/>
        <w:rPr>
          <w:rFonts w:ascii="Times" w:hAnsi="Times"/>
          <w:b/>
          <w:szCs w:val="20"/>
        </w:rPr>
      </w:pPr>
      <w:r>
        <w:rPr>
          <w:rFonts w:ascii="Times" w:hAnsi="Times"/>
          <w:b/>
          <w:szCs w:val="20"/>
        </w:rPr>
        <w:t>Can I adopt this Amendment on behalf of all of my employer clients?</w:t>
      </w:r>
    </w:p>
    <w:p w14:paraId="021801E6" w14:textId="3CDF2AF1" w:rsidR="001E7226" w:rsidRDefault="001E7226" w:rsidP="001E7226">
      <w:pPr>
        <w:widowControl/>
        <w:adjustRightInd w:val="0"/>
        <w:rPr>
          <w:rFonts w:ascii="Times" w:hAnsi="Times"/>
          <w:b/>
          <w:szCs w:val="20"/>
        </w:rPr>
      </w:pPr>
    </w:p>
    <w:p w14:paraId="587F23E2" w14:textId="1CD40611" w:rsidR="005D78B5" w:rsidRDefault="005D78B5" w:rsidP="001E7226">
      <w:pPr>
        <w:widowControl/>
        <w:adjustRightInd w:val="0"/>
        <w:rPr>
          <w:rFonts w:ascii="Times" w:hAnsi="Times"/>
          <w:bCs/>
          <w:szCs w:val="20"/>
        </w:rPr>
      </w:pPr>
      <w:r>
        <w:rPr>
          <w:rFonts w:ascii="Times" w:hAnsi="Times"/>
          <w:bCs/>
          <w:szCs w:val="20"/>
        </w:rPr>
        <w:lastRenderedPageBreak/>
        <w:t>No.  This amendment is designed to be adopted individually by employers that wish to offer th</w:t>
      </w:r>
      <w:r w:rsidR="00194BE5">
        <w:rPr>
          <w:rFonts w:ascii="Times" w:hAnsi="Times"/>
          <w:bCs/>
          <w:szCs w:val="20"/>
        </w:rPr>
        <w:t>is</w:t>
      </w:r>
      <w:r>
        <w:rPr>
          <w:rFonts w:ascii="Times" w:hAnsi="Times"/>
          <w:bCs/>
          <w:szCs w:val="20"/>
        </w:rPr>
        <w:t xml:space="preserve"> provision.  </w:t>
      </w:r>
    </w:p>
    <w:p w14:paraId="2EE57207" w14:textId="77777777" w:rsidR="005D78B5" w:rsidRPr="005D78B5" w:rsidRDefault="005D78B5" w:rsidP="001E7226">
      <w:pPr>
        <w:widowControl/>
        <w:adjustRightInd w:val="0"/>
        <w:rPr>
          <w:rFonts w:ascii="Times" w:hAnsi="Times"/>
          <w:bCs/>
          <w:szCs w:val="20"/>
        </w:rPr>
      </w:pPr>
    </w:p>
    <w:p w14:paraId="19C659F6" w14:textId="77777777" w:rsidR="001E7226" w:rsidRDefault="001E7226" w:rsidP="001E7226">
      <w:pPr>
        <w:widowControl/>
        <w:autoSpaceDE/>
        <w:rPr>
          <w:b/>
          <w:szCs w:val="20"/>
        </w:rPr>
      </w:pPr>
      <w:r>
        <w:rPr>
          <w:b/>
          <w:szCs w:val="20"/>
        </w:rPr>
        <w:t>Can I modify the Amendment?</w:t>
      </w:r>
    </w:p>
    <w:p w14:paraId="6975EA7C" w14:textId="77777777" w:rsidR="001E7226" w:rsidRDefault="001E7226" w:rsidP="001E7226">
      <w:pPr>
        <w:widowControl/>
        <w:autoSpaceDE/>
        <w:rPr>
          <w:b/>
          <w:szCs w:val="20"/>
        </w:rPr>
      </w:pPr>
    </w:p>
    <w:p w14:paraId="6BB1991F" w14:textId="6F5AAD64" w:rsidR="001E7226" w:rsidRDefault="001E7226" w:rsidP="001E7226">
      <w:pPr>
        <w:rPr>
          <w:rFonts w:ascii="Times" w:hAnsi="Times"/>
          <w:szCs w:val="20"/>
        </w:rPr>
      </w:pPr>
      <w:r>
        <w:rPr>
          <w:szCs w:val="20"/>
        </w:rPr>
        <w:t xml:space="preserve">Yes. </w:t>
      </w:r>
      <w:r>
        <w:rPr>
          <w:rFonts w:ascii="Times" w:hAnsi="Times"/>
          <w:b/>
          <w:bCs/>
          <w:szCs w:val="20"/>
        </w:rPr>
        <w:t xml:space="preserve">This Amendment is not an IRS model amendment and has not been reviewed by the IRS. </w:t>
      </w:r>
      <w:r w:rsidR="00194BE5" w:rsidRPr="00AA2C1C">
        <w:rPr>
          <w:rFonts w:ascii="Times" w:hAnsi="Times"/>
          <w:szCs w:val="20"/>
        </w:rPr>
        <w:t>Note, however,</w:t>
      </w:r>
      <w:r w:rsidR="00FA26B4" w:rsidRPr="00AA2C1C">
        <w:rPr>
          <w:rFonts w:ascii="Times" w:hAnsi="Times"/>
          <w:szCs w:val="20"/>
        </w:rPr>
        <w:t xml:space="preserve"> that it closely models corresponding provisions in the PPD document, and the IRS has reviewed and approved those provisions in the context of</w:t>
      </w:r>
      <w:r w:rsidR="0045314C" w:rsidRPr="00AA2C1C">
        <w:rPr>
          <w:rFonts w:ascii="Times" w:hAnsi="Times"/>
          <w:szCs w:val="20"/>
        </w:rPr>
        <w:t xml:space="preserve"> that document.</w:t>
      </w:r>
    </w:p>
    <w:p w14:paraId="174C20B1" w14:textId="77777777" w:rsidR="001E7226" w:rsidRDefault="001E7226" w:rsidP="001E7226">
      <w:pPr>
        <w:rPr>
          <w:rFonts w:ascii="Times" w:hAnsi="Times"/>
          <w:szCs w:val="20"/>
        </w:rPr>
      </w:pPr>
    </w:p>
    <w:p w14:paraId="5E8EE577" w14:textId="77777777" w:rsidR="001E7226" w:rsidRDefault="001E7226" w:rsidP="001E7226">
      <w:pPr>
        <w:rPr>
          <w:rFonts w:ascii="Times" w:hAnsi="Times"/>
          <w:b/>
          <w:bCs/>
          <w:szCs w:val="20"/>
        </w:rPr>
      </w:pPr>
      <w:r>
        <w:rPr>
          <w:rFonts w:ascii="Times" w:hAnsi="Times"/>
          <w:b/>
          <w:bCs/>
          <w:szCs w:val="20"/>
        </w:rPr>
        <w:t>How do I complete the amendment?</w:t>
      </w:r>
    </w:p>
    <w:p w14:paraId="2B05E4CB" w14:textId="77777777" w:rsidR="001E7226" w:rsidRDefault="001E7226" w:rsidP="001E7226">
      <w:pPr>
        <w:ind w:firstLine="720"/>
        <w:rPr>
          <w:bCs/>
          <w:iCs/>
          <w:szCs w:val="20"/>
        </w:rPr>
      </w:pPr>
    </w:p>
    <w:p w14:paraId="30E9D3CF" w14:textId="22CB09C5" w:rsidR="001E7226" w:rsidRDefault="000241AA" w:rsidP="001E7226">
      <w:pPr>
        <w:rPr>
          <w:bCs/>
          <w:iCs/>
          <w:szCs w:val="20"/>
        </w:rPr>
      </w:pPr>
      <w:r>
        <w:rPr>
          <w:bCs/>
          <w:iCs/>
          <w:szCs w:val="20"/>
        </w:rPr>
        <w:t xml:space="preserve">Complete the identifying information </w:t>
      </w:r>
      <w:r w:rsidR="00E120E5">
        <w:rPr>
          <w:bCs/>
          <w:iCs/>
          <w:szCs w:val="20"/>
        </w:rPr>
        <w:t xml:space="preserve">and make the appropriate elections in </w:t>
      </w:r>
      <w:r w:rsidR="00F254CA">
        <w:rPr>
          <w:bCs/>
          <w:iCs/>
          <w:szCs w:val="20"/>
        </w:rPr>
        <w:t>A</w:t>
      </w:r>
      <w:r w:rsidR="00E120E5">
        <w:rPr>
          <w:bCs/>
          <w:iCs/>
          <w:szCs w:val="20"/>
        </w:rPr>
        <w:t>rticle 2.</w:t>
      </w:r>
      <w:r>
        <w:rPr>
          <w:bCs/>
          <w:iCs/>
          <w:szCs w:val="20"/>
        </w:rPr>
        <w:t xml:space="preserve">  Then</w:t>
      </w:r>
      <w:r w:rsidR="00F254CA">
        <w:rPr>
          <w:bCs/>
          <w:iCs/>
          <w:szCs w:val="20"/>
        </w:rPr>
        <w:t>,</w:t>
      </w:r>
      <w:r>
        <w:rPr>
          <w:bCs/>
          <w:iCs/>
          <w:szCs w:val="20"/>
        </w:rPr>
        <w:t xml:space="preserve"> sign and date the amendment.</w:t>
      </w:r>
    </w:p>
    <w:p w14:paraId="2720F3C7" w14:textId="77777777" w:rsidR="000241AA" w:rsidRDefault="000241AA" w:rsidP="001E7226">
      <w:pPr>
        <w:rPr>
          <w:bCs/>
          <w:iCs/>
          <w:szCs w:val="20"/>
        </w:rPr>
      </w:pPr>
    </w:p>
    <w:p w14:paraId="156F8AE9" w14:textId="77777777" w:rsidR="001E7226" w:rsidRDefault="001E7226" w:rsidP="001E7226">
      <w:pPr>
        <w:rPr>
          <w:b/>
          <w:iCs/>
          <w:szCs w:val="20"/>
        </w:rPr>
      </w:pPr>
      <w:r>
        <w:rPr>
          <w:b/>
          <w:iCs/>
          <w:szCs w:val="20"/>
        </w:rPr>
        <w:t>Are other documents available?</w:t>
      </w:r>
    </w:p>
    <w:p w14:paraId="7330D6E5" w14:textId="77777777" w:rsidR="001E7226" w:rsidRDefault="001E7226" w:rsidP="001E7226">
      <w:pPr>
        <w:rPr>
          <w:bCs/>
          <w:iCs/>
          <w:szCs w:val="20"/>
        </w:rPr>
      </w:pPr>
    </w:p>
    <w:p w14:paraId="33B10F9F" w14:textId="3634DB75" w:rsidR="001E7226" w:rsidRDefault="001E7226" w:rsidP="001E7226">
      <w:pPr>
        <w:rPr>
          <w:rFonts w:ascii="Times" w:hAnsi="Times"/>
          <w:szCs w:val="20"/>
        </w:rPr>
      </w:pPr>
      <w:r>
        <w:rPr>
          <w:rFonts w:ascii="Times" w:hAnsi="Times"/>
          <w:szCs w:val="20"/>
        </w:rPr>
        <w:t>In addition to the Amendment, we have provided a sample Adopting Resolution (for an employer to evidence adoption of the Amendment, if applicable), and a sample Summary of Material Modifications (SMM) (if applicable). We have not provided a unanimous written consent or other form to actually adopt the amendment, because this will vary depending on local law and on the structure of the employer.</w:t>
      </w:r>
    </w:p>
    <w:p w14:paraId="2AB10720" w14:textId="77777777" w:rsidR="001E7226" w:rsidRDefault="001E7226" w:rsidP="001E7226">
      <w:pPr>
        <w:rPr>
          <w:rFonts w:ascii="Times" w:hAnsi="Times"/>
          <w:szCs w:val="20"/>
        </w:rPr>
      </w:pPr>
    </w:p>
    <w:sectPr w:rsidR="001E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A3FA6"/>
    <w:multiLevelType w:val="hybridMultilevel"/>
    <w:tmpl w:val="EB7E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55124"/>
    <w:multiLevelType w:val="hybridMultilevel"/>
    <w:tmpl w:val="3B405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903CAE-BFA5-49B7-9F53-100B4C93591F}"/>
    <w:docVar w:name="dgnword-eventsink" w:val="1445094883088"/>
  </w:docVars>
  <w:rsids>
    <w:rsidRoot w:val="001E7226"/>
    <w:rsid w:val="000241AA"/>
    <w:rsid w:val="0004449E"/>
    <w:rsid w:val="0005032F"/>
    <w:rsid w:val="00056A90"/>
    <w:rsid w:val="000E1598"/>
    <w:rsid w:val="000E4FB7"/>
    <w:rsid w:val="001441A5"/>
    <w:rsid w:val="001719AE"/>
    <w:rsid w:val="00194BE5"/>
    <w:rsid w:val="001E7226"/>
    <w:rsid w:val="00256BC6"/>
    <w:rsid w:val="002F7E12"/>
    <w:rsid w:val="0030044F"/>
    <w:rsid w:val="0035755E"/>
    <w:rsid w:val="0039518F"/>
    <w:rsid w:val="003B6472"/>
    <w:rsid w:val="0045314C"/>
    <w:rsid w:val="00462C0D"/>
    <w:rsid w:val="004742C2"/>
    <w:rsid w:val="00482C94"/>
    <w:rsid w:val="004B126A"/>
    <w:rsid w:val="004C3975"/>
    <w:rsid w:val="004D03F7"/>
    <w:rsid w:val="004D1ECA"/>
    <w:rsid w:val="004D4D86"/>
    <w:rsid w:val="004F5BB7"/>
    <w:rsid w:val="004F7583"/>
    <w:rsid w:val="005058AB"/>
    <w:rsid w:val="005A0FCD"/>
    <w:rsid w:val="005B55F2"/>
    <w:rsid w:val="005D78B5"/>
    <w:rsid w:val="006131FA"/>
    <w:rsid w:val="006F315F"/>
    <w:rsid w:val="00715DFD"/>
    <w:rsid w:val="00723F45"/>
    <w:rsid w:val="00736B99"/>
    <w:rsid w:val="00746DF6"/>
    <w:rsid w:val="00763CE8"/>
    <w:rsid w:val="00782896"/>
    <w:rsid w:val="00782A9A"/>
    <w:rsid w:val="007950DB"/>
    <w:rsid w:val="00795AC4"/>
    <w:rsid w:val="007E1502"/>
    <w:rsid w:val="007E6B45"/>
    <w:rsid w:val="007F4C4D"/>
    <w:rsid w:val="008627DC"/>
    <w:rsid w:val="00871DD6"/>
    <w:rsid w:val="00872220"/>
    <w:rsid w:val="008B1876"/>
    <w:rsid w:val="008E0545"/>
    <w:rsid w:val="008F773B"/>
    <w:rsid w:val="009178D6"/>
    <w:rsid w:val="00925AB3"/>
    <w:rsid w:val="009653E0"/>
    <w:rsid w:val="00981614"/>
    <w:rsid w:val="00990248"/>
    <w:rsid w:val="00A070F9"/>
    <w:rsid w:val="00A44266"/>
    <w:rsid w:val="00AA2C1C"/>
    <w:rsid w:val="00AD29E8"/>
    <w:rsid w:val="00B2021C"/>
    <w:rsid w:val="00B51E4F"/>
    <w:rsid w:val="00BB79A7"/>
    <w:rsid w:val="00BC5F52"/>
    <w:rsid w:val="00BD7595"/>
    <w:rsid w:val="00C04268"/>
    <w:rsid w:val="00C27AD5"/>
    <w:rsid w:val="00C62819"/>
    <w:rsid w:val="00C64780"/>
    <w:rsid w:val="00C7359D"/>
    <w:rsid w:val="00C946B6"/>
    <w:rsid w:val="00CB41C4"/>
    <w:rsid w:val="00CC7EA6"/>
    <w:rsid w:val="00D63A09"/>
    <w:rsid w:val="00D801A2"/>
    <w:rsid w:val="00DB4960"/>
    <w:rsid w:val="00E01588"/>
    <w:rsid w:val="00E120E5"/>
    <w:rsid w:val="00E67E87"/>
    <w:rsid w:val="00EF15CE"/>
    <w:rsid w:val="00F254CA"/>
    <w:rsid w:val="00F34813"/>
    <w:rsid w:val="00F46B33"/>
    <w:rsid w:val="00F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139E"/>
  <w15:chartTrackingRefBased/>
  <w15:docId w15:val="{BF7181AB-6140-4FBA-9B23-D52C4302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Theme="minorHAnsi" w:hAnsi="Century Schoolbook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E7226"/>
    <w:pPr>
      <w:keepNext/>
      <w:jc w:val="center"/>
      <w:outlineLvl w:val="0"/>
    </w:pPr>
    <w:rPr>
      <w:rFonts w:ascii="Times" w:hAnsi="Times"/>
      <w:b/>
      <w:bCs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226"/>
    <w:rPr>
      <w:rFonts w:ascii="Times" w:eastAsia="Times New Roman" w:hAnsi="Times" w:cs="Times New Roman"/>
      <w:b/>
      <w:bCs/>
      <w:sz w:val="22"/>
      <w:szCs w:val="18"/>
    </w:rPr>
  </w:style>
  <w:style w:type="paragraph" w:styleId="ListParagraph">
    <w:name w:val="List Paragraph"/>
    <w:basedOn w:val="Normal"/>
    <w:uiPriority w:val="34"/>
    <w:qFormat/>
    <w:rsid w:val="0076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292C3D301764EA1F487FCED2CB332" ma:contentTypeVersion="13" ma:contentTypeDescription="Create a new document." ma:contentTypeScope="" ma:versionID="eb2cdce2110f9e3d1bce7e495eba3ae1">
  <xsd:schema xmlns:xsd="http://www.w3.org/2001/XMLSchema" xmlns:xs="http://www.w3.org/2001/XMLSchema" xmlns:p="http://schemas.microsoft.com/office/2006/metadata/properties" xmlns:ns3="ce259eb4-dc2c-401c-a713-54e200c5e2f5" xmlns:ns4="63ed6785-b7eb-4f70-a0dd-607007434e68" targetNamespace="http://schemas.microsoft.com/office/2006/metadata/properties" ma:root="true" ma:fieldsID="f55817d46026c273374fdb93262b509b" ns3:_="" ns4:_="">
    <xsd:import namespace="ce259eb4-dc2c-401c-a713-54e200c5e2f5"/>
    <xsd:import namespace="63ed6785-b7eb-4f70-a0dd-607007434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9eb4-dc2c-401c-a713-54e200c5e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6785-b7eb-4f70-a0dd-607007434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7E888-1525-4A5C-87BD-55C635AE1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59eb4-dc2c-401c-a713-54e200c5e2f5"/>
    <ds:schemaRef ds:uri="63ed6785-b7eb-4f70-a0dd-607007434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A930F-A50A-4B08-8586-E60C18DECD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959C6E-F12E-42C8-8A2F-0BBAED3BC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Derrin</dc:creator>
  <cp:keywords/>
  <dc:description/>
  <cp:lastModifiedBy>McNamara, Dan</cp:lastModifiedBy>
  <cp:revision>3</cp:revision>
  <dcterms:created xsi:type="dcterms:W3CDTF">2021-09-13T18:15:00Z</dcterms:created>
  <dcterms:modified xsi:type="dcterms:W3CDTF">2021-09-30T12:51:00Z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0x0101007B1292C3D301764EA1F487FCED2CB332</vt:lpwstr>
  </property>
</Properties>
</file>